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292"/>
        <w:gridCol w:w="2610"/>
        <w:gridCol w:w="1430"/>
        <w:gridCol w:w="1191"/>
        <w:gridCol w:w="547"/>
      </w:tblGrid>
      <w:tr w:rsidR="00722D92" w:rsidRPr="001814D4" w14:paraId="265B44D1" w14:textId="77777777" w:rsidTr="44AB983F">
        <w:trPr>
          <w:gridAfter w:val="1"/>
          <w:wAfter w:w="547" w:type="dxa"/>
          <w:trHeight w:val="340"/>
        </w:trPr>
        <w:tc>
          <w:tcPr>
            <w:tcW w:w="10541" w:type="dxa"/>
            <w:gridSpan w:val="7"/>
          </w:tcPr>
          <w:p w14:paraId="5EBA2646" w14:textId="77777777" w:rsidR="00722D92" w:rsidRPr="00A72A95" w:rsidRDefault="00722D92" w:rsidP="000D7C13">
            <w:pPr>
              <w:pStyle w:val="SAMs"/>
              <w:spacing w:line="360" w:lineRule="auto"/>
              <w:rPr>
                <w:rFonts w:asciiTheme="majorBidi" w:hAnsiTheme="majorBidi" w:cstheme="majorBidi"/>
              </w:rPr>
            </w:pPr>
          </w:p>
        </w:tc>
      </w:tr>
      <w:tr w:rsidR="00524EE9" w14:paraId="392E297F"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166BC34B" w14:textId="77777777" w:rsidR="00524EE9" w:rsidRDefault="00524EE9" w:rsidP="00FF6F2D">
            <w:r>
              <w:rPr>
                <w:rFonts w:ascii="Times New Roman" w:hAnsi="Times New Roman" w:cs="Times New Roman"/>
                <w:b/>
                <w:bCs/>
                <w:sz w:val="21"/>
                <w:szCs w:val="21"/>
              </w:rPr>
              <w:t>Code No.:</w:t>
            </w:r>
          </w:p>
        </w:tc>
        <w:tc>
          <w:tcPr>
            <w:tcW w:w="2973" w:type="dxa"/>
            <w:gridSpan w:val="2"/>
            <w:tcBorders>
              <w:top w:val="single" w:sz="4" w:space="0" w:color="auto"/>
              <w:left w:val="single" w:sz="4" w:space="0" w:color="auto"/>
              <w:bottom w:val="single" w:sz="4" w:space="0" w:color="auto"/>
              <w:right w:val="single" w:sz="4" w:space="0" w:color="auto"/>
            </w:tcBorders>
          </w:tcPr>
          <w:p w14:paraId="3F2FE505" w14:textId="77777777" w:rsidR="00524EE9" w:rsidRPr="00B40AE1" w:rsidRDefault="00524EE9" w:rsidP="00747C20">
            <w:pPr>
              <w:rPr>
                <w:b/>
              </w:rPr>
            </w:pPr>
            <w:r w:rsidRPr="00B40AE1">
              <w:rPr>
                <w:b/>
              </w:rPr>
              <w:t>HTU/P</w:t>
            </w:r>
            <w:r w:rsidR="00A66402" w:rsidRPr="00B40AE1">
              <w:rPr>
                <w:b/>
              </w:rPr>
              <w:t>4</w:t>
            </w:r>
          </w:p>
        </w:tc>
        <w:tc>
          <w:tcPr>
            <w:tcW w:w="2610" w:type="dxa"/>
            <w:tcBorders>
              <w:top w:val="single" w:sz="4" w:space="0" w:color="auto"/>
              <w:left w:val="single" w:sz="4" w:space="0" w:color="auto"/>
              <w:bottom w:val="single" w:sz="4" w:space="0" w:color="auto"/>
              <w:right w:val="single" w:sz="4" w:space="0" w:color="auto"/>
            </w:tcBorders>
          </w:tcPr>
          <w:p w14:paraId="2B71C350"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30" w:type="dxa"/>
            <w:tcBorders>
              <w:top w:val="single" w:sz="4" w:space="0" w:color="auto"/>
              <w:left w:val="single" w:sz="4" w:space="0" w:color="auto"/>
              <w:bottom w:val="single" w:sz="4" w:space="0" w:color="auto"/>
              <w:right w:val="single" w:sz="4" w:space="0" w:color="auto"/>
            </w:tcBorders>
          </w:tcPr>
          <w:p w14:paraId="465EAD61" w14:textId="77777777" w:rsidR="00524EE9" w:rsidRPr="00B40AE1" w:rsidRDefault="00524EE9" w:rsidP="00FF6F2D">
            <w:pPr>
              <w:rPr>
                <w:b/>
              </w:rPr>
            </w:pPr>
            <w:r w:rsidRPr="00B40AE1">
              <w:rPr>
                <w:b/>
              </w:rPr>
              <w:t>9/11/2017</w:t>
            </w:r>
          </w:p>
        </w:tc>
      </w:tr>
      <w:tr w:rsidR="00524EE9" w14:paraId="3C70FFE5"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3AFABD03"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4031E7B1" w14:textId="77777777" w:rsidR="00524EE9" w:rsidRDefault="00524EE9" w:rsidP="00FF6F2D">
            <w:r>
              <w:rPr>
                <w:rFonts w:ascii="Times New Roman" w:hAnsi="Times New Roman" w:cs="Times New Roman"/>
                <w:b/>
                <w:bCs/>
                <w:sz w:val="21"/>
                <w:szCs w:val="21"/>
              </w:rPr>
              <w:t>Department</w:t>
            </w:r>
          </w:p>
        </w:tc>
        <w:tc>
          <w:tcPr>
            <w:tcW w:w="2973" w:type="dxa"/>
            <w:gridSpan w:val="2"/>
            <w:tcBorders>
              <w:top w:val="single" w:sz="4" w:space="0" w:color="auto"/>
              <w:left w:val="single" w:sz="4" w:space="0" w:color="auto"/>
              <w:bottom w:val="single" w:sz="4" w:space="0" w:color="auto"/>
              <w:right w:val="single" w:sz="4" w:space="0" w:color="auto"/>
            </w:tcBorders>
          </w:tcPr>
          <w:p w14:paraId="559255B4" w14:textId="77777777" w:rsidR="00524EE9" w:rsidRPr="00B40AE1" w:rsidRDefault="00A66402" w:rsidP="00FF6F2D">
            <w:pPr>
              <w:rPr>
                <w:b/>
              </w:rPr>
            </w:pPr>
            <w:r w:rsidRPr="00B40AE1">
              <w:rPr>
                <w:rFonts w:ascii="Arial" w:hAnsi="Arial" w:cs="Arial"/>
                <w:b/>
                <w:sz w:val="20"/>
                <w:szCs w:val="20"/>
              </w:rPr>
              <w:t>Programme</w:t>
            </w:r>
            <w:r w:rsidR="00D01117">
              <w:rPr>
                <w:rFonts w:ascii="Arial" w:hAnsi="Arial" w:cs="Arial"/>
                <w:b/>
                <w:sz w:val="20"/>
                <w:szCs w:val="20"/>
              </w:rPr>
              <w:t xml:space="preserve"> Leaders of</w:t>
            </w:r>
            <w:r w:rsidRPr="00B40AE1">
              <w:rPr>
                <w:rFonts w:ascii="Arial" w:hAnsi="Arial" w:cs="Arial"/>
                <w:b/>
                <w:sz w:val="20"/>
                <w:szCs w:val="20"/>
              </w:rPr>
              <w:t xml:space="preserve"> Department</w:t>
            </w:r>
            <w:r w:rsidR="00D01117">
              <w:rPr>
                <w:rFonts w:ascii="Arial" w:hAnsi="Arial" w:cs="Arial"/>
                <w:b/>
                <w:sz w:val="20"/>
                <w:szCs w:val="20"/>
              </w:rPr>
              <w:t>/s</w:t>
            </w:r>
          </w:p>
        </w:tc>
        <w:tc>
          <w:tcPr>
            <w:tcW w:w="2610" w:type="dxa"/>
            <w:tcBorders>
              <w:top w:val="single" w:sz="4" w:space="0" w:color="auto"/>
              <w:left w:val="single" w:sz="4" w:space="0" w:color="auto"/>
              <w:bottom w:val="single" w:sz="4" w:space="0" w:color="auto"/>
              <w:right w:val="single" w:sz="4" w:space="0" w:color="auto"/>
            </w:tcBorders>
          </w:tcPr>
          <w:p w14:paraId="69EEC383"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30" w:type="dxa"/>
            <w:tcBorders>
              <w:top w:val="single" w:sz="4" w:space="0" w:color="auto"/>
              <w:left w:val="single" w:sz="4" w:space="0" w:color="auto"/>
              <w:bottom w:val="single" w:sz="4" w:space="0" w:color="auto"/>
              <w:right w:val="single" w:sz="4" w:space="0" w:color="auto"/>
            </w:tcBorders>
          </w:tcPr>
          <w:p w14:paraId="07CF72BA" w14:textId="77777777" w:rsidR="00524EE9" w:rsidRPr="00B40AE1" w:rsidRDefault="00524EE9" w:rsidP="00FF6F2D">
            <w:pPr>
              <w:rPr>
                <w:b/>
              </w:rPr>
            </w:pPr>
            <w:r w:rsidRPr="00B40AE1">
              <w:rPr>
                <w:b/>
              </w:rPr>
              <w:t>9/11/2017</w:t>
            </w:r>
          </w:p>
        </w:tc>
      </w:tr>
      <w:tr w:rsidR="00524EE9" w14:paraId="2CC6044A"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5615C21E" w14:textId="77777777" w:rsidR="00524EE9" w:rsidRDefault="00524EE9" w:rsidP="00FF6F2D">
            <w:r>
              <w:rPr>
                <w:rFonts w:ascii="Times New Roman" w:hAnsi="Times New Roman" w:cs="Times New Roman"/>
                <w:b/>
                <w:bCs/>
                <w:sz w:val="21"/>
                <w:szCs w:val="21"/>
              </w:rPr>
              <w:t>Responsible Executive</w:t>
            </w:r>
          </w:p>
        </w:tc>
        <w:tc>
          <w:tcPr>
            <w:tcW w:w="2973" w:type="dxa"/>
            <w:gridSpan w:val="2"/>
            <w:tcBorders>
              <w:top w:val="single" w:sz="4" w:space="0" w:color="auto"/>
              <w:left w:val="single" w:sz="4" w:space="0" w:color="auto"/>
              <w:bottom w:val="single" w:sz="4" w:space="0" w:color="auto"/>
              <w:right w:val="single" w:sz="4" w:space="0" w:color="auto"/>
            </w:tcBorders>
          </w:tcPr>
          <w:p w14:paraId="1BC4CF25" w14:textId="77777777" w:rsidR="00524EE9" w:rsidRPr="00B40AE1" w:rsidRDefault="006902AA" w:rsidP="00FF6F2D">
            <w:pPr>
              <w:rPr>
                <w:b/>
              </w:rPr>
            </w:pPr>
            <w:r w:rsidRPr="00B40AE1">
              <w:rPr>
                <w:b/>
              </w:rPr>
              <w:t>Registrar</w:t>
            </w:r>
          </w:p>
        </w:tc>
        <w:tc>
          <w:tcPr>
            <w:tcW w:w="2610" w:type="dxa"/>
            <w:tcBorders>
              <w:top w:val="single" w:sz="4" w:space="0" w:color="auto"/>
              <w:left w:val="single" w:sz="4" w:space="0" w:color="auto"/>
              <w:bottom w:val="single" w:sz="4" w:space="0" w:color="auto"/>
              <w:right w:val="single" w:sz="4" w:space="0" w:color="auto"/>
            </w:tcBorders>
          </w:tcPr>
          <w:p w14:paraId="684B748A"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1C2B185" w14:textId="77777777" w:rsidR="00B40AE1"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Revision</w:t>
            </w:r>
            <w:r w:rsidR="008469C8">
              <w:rPr>
                <w:rFonts w:ascii="Times New Roman" w:hAnsi="Times New Roman" w:cs="Times New Roman"/>
                <w:b/>
                <w:bCs/>
                <w:sz w:val="21"/>
                <w:szCs w:val="21"/>
              </w:rPr>
              <w:t xml:space="preserve"> # : 4</w:t>
            </w:r>
          </w:p>
        </w:tc>
        <w:tc>
          <w:tcPr>
            <w:tcW w:w="1430" w:type="dxa"/>
            <w:tcBorders>
              <w:top w:val="single" w:sz="4" w:space="0" w:color="auto"/>
              <w:left w:val="single" w:sz="4" w:space="0" w:color="auto"/>
              <w:bottom w:val="single" w:sz="4" w:space="0" w:color="auto"/>
              <w:right w:val="single" w:sz="4" w:space="0" w:color="auto"/>
            </w:tcBorders>
          </w:tcPr>
          <w:p w14:paraId="1520F790" w14:textId="7D82AC3F" w:rsidR="00524EE9" w:rsidRPr="00B40AE1" w:rsidRDefault="00F45D4E" w:rsidP="00FF6F2D">
            <w:pPr>
              <w:rPr>
                <w:b/>
              </w:rPr>
            </w:pPr>
            <w:r>
              <w:rPr>
                <w:b/>
                <w:color w:val="00B050"/>
              </w:rPr>
              <w:t>11</w:t>
            </w:r>
            <w:r w:rsidR="005273A7">
              <w:rPr>
                <w:b/>
                <w:color w:val="00B050"/>
              </w:rPr>
              <w:t>/11/</w:t>
            </w:r>
            <w:r w:rsidR="00832207">
              <w:rPr>
                <w:b/>
                <w:color w:val="00B050"/>
              </w:rPr>
              <w:t>202</w:t>
            </w:r>
            <w:r>
              <w:rPr>
                <w:b/>
                <w:color w:val="00B050"/>
              </w:rPr>
              <w:t>4</w:t>
            </w:r>
          </w:p>
        </w:tc>
      </w:tr>
      <w:tr w:rsidR="00524EE9" w14:paraId="12021C38"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439F4E78" w14:textId="77777777" w:rsidR="00524EE9" w:rsidRPr="00214AB7" w:rsidRDefault="00B40AE1"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973" w:type="dxa"/>
            <w:gridSpan w:val="2"/>
            <w:tcBorders>
              <w:top w:val="single" w:sz="4" w:space="0" w:color="auto"/>
              <w:left w:val="single" w:sz="4" w:space="0" w:color="auto"/>
              <w:bottom w:val="single" w:sz="4" w:space="0" w:color="auto"/>
              <w:right w:val="single" w:sz="4" w:space="0" w:color="auto"/>
            </w:tcBorders>
          </w:tcPr>
          <w:p w14:paraId="5192254A" w14:textId="77777777" w:rsidR="00524EE9" w:rsidRPr="00B40AE1" w:rsidRDefault="00B40AE1" w:rsidP="00FF6F2D">
            <w:pPr>
              <w:rPr>
                <w:b/>
              </w:rPr>
            </w:pPr>
            <w:r w:rsidRPr="00B40AE1">
              <w:rPr>
                <w:b/>
              </w:rPr>
              <w:t>Rumiana Bahova Nuseibeh</w:t>
            </w:r>
          </w:p>
        </w:tc>
        <w:tc>
          <w:tcPr>
            <w:tcW w:w="2610" w:type="dxa"/>
            <w:tcBorders>
              <w:top w:val="single" w:sz="4" w:space="0" w:color="auto"/>
              <w:left w:val="single" w:sz="4" w:space="0" w:color="auto"/>
              <w:bottom w:val="single" w:sz="4" w:space="0" w:color="auto"/>
              <w:right w:val="single" w:sz="4" w:space="0" w:color="auto"/>
            </w:tcBorders>
          </w:tcPr>
          <w:p w14:paraId="6EAD5D99" w14:textId="77777777" w:rsidR="00524EE9"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Due Revision Date</w:t>
            </w:r>
          </w:p>
        </w:tc>
        <w:tc>
          <w:tcPr>
            <w:tcW w:w="1430" w:type="dxa"/>
            <w:tcBorders>
              <w:top w:val="single" w:sz="4" w:space="0" w:color="auto"/>
              <w:left w:val="single" w:sz="4" w:space="0" w:color="auto"/>
              <w:bottom w:val="single" w:sz="4" w:space="0" w:color="auto"/>
              <w:right w:val="single" w:sz="4" w:space="0" w:color="auto"/>
            </w:tcBorders>
          </w:tcPr>
          <w:p w14:paraId="0BECAEFF" w14:textId="37ADBD83" w:rsidR="00524EE9" w:rsidRPr="00B40AE1" w:rsidRDefault="00F45D4E" w:rsidP="00FF6F2D">
            <w:pPr>
              <w:rPr>
                <w:b/>
              </w:rPr>
            </w:pPr>
            <w:r>
              <w:rPr>
                <w:b/>
                <w:color w:val="FF0000"/>
              </w:rPr>
              <w:t>11</w:t>
            </w:r>
            <w:r w:rsidR="005273A7">
              <w:rPr>
                <w:b/>
                <w:color w:val="FF0000"/>
              </w:rPr>
              <w:t>/11/</w:t>
            </w:r>
            <w:r w:rsidR="00832207">
              <w:rPr>
                <w:b/>
                <w:color w:val="FF0000"/>
              </w:rPr>
              <w:t>202</w:t>
            </w:r>
            <w:r>
              <w:rPr>
                <w:b/>
                <w:color w:val="FF0000"/>
              </w:rPr>
              <w:t>5</w:t>
            </w:r>
          </w:p>
        </w:tc>
      </w:tr>
      <w:tr w:rsidR="00B23F0E" w:rsidRPr="001814D4" w14:paraId="01B539B4" w14:textId="77777777" w:rsidTr="44AB983F">
        <w:tc>
          <w:tcPr>
            <w:tcW w:w="11088" w:type="dxa"/>
            <w:gridSpan w:val="8"/>
          </w:tcPr>
          <w:p w14:paraId="760150EE" w14:textId="77777777" w:rsidR="00B23F0E" w:rsidRDefault="00B23F0E" w:rsidP="00524EE9">
            <w:pPr>
              <w:pStyle w:val="UnitTitle"/>
              <w:spacing w:line="360" w:lineRule="auto"/>
              <w:rPr>
                <w:rFonts w:asciiTheme="majorBidi" w:hAnsiTheme="majorBidi" w:cstheme="majorBidi"/>
                <w:b w:val="0"/>
                <w:sz w:val="36"/>
                <w:szCs w:val="36"/>
              </w:rPr>
            </w:pPr>
            <w:r w:rsidRPr="44AB983F">
              <w:rPr>
                <w:rFonts w:asciiTheme="majorBidi" w:hAnsiTheme="majorBidi" w:cstheme="majorBidi"/>
                <w:b w:val="0"/>
                <w:sz w:val="36"/>
                <w:szCs w:val="36"/>
              </w:rPr>
              <w:t xml:space="preserve">                                      </w:t>
            </w:r>
          </w:p>
          <w:p w14:paraId="2B8AAA55" w14:textId="6CE86DE2" w:rsidR="00524EE9" w:rsidRPr="00A72A95" w:rsidRDefault="02DAC64C" w:rsidP="046FC662">
            <w:pPr>
              <w:pStyle w:val="UnitTitle"/>
              <w:spacing w:line="360" w:lineRule="auto"/>
            </w:pPr>
            <w:r>
              <w:rPr>
                <w:noProof/>
              </w:rPr>
              <w:drawing>
                <wp:inline distT="0" distB="0" distL="0" distR="0" wp14:anchorId="6C5CE197" wp14:editId="44AB983F">
                  <wp:extent cx="5819775" cy="2061170"/>
                  <wp:effectExtent l="0" t="0" r="0" b="0"/>
                  <wp:docPr id="417228377" name="Picture 41722837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2061170"/>
                          </a:xfrm>
                          <a:prstGeom prst="rect">
                            <a:avLst/>
                          </a:prstGeom>
                        </pic:spPr>
                      </pic:pic>
                    </a:graphicData>
                  </a:graphic>
                </wp:inline>
              </w:drawing>
            </w:r>
          </w:p>
        </w:tc>
      </w:tr>
      <w:tr w:rsidR="00722D92" w:rsidRPr="001814D4" w14:paraId="031FCE9D" w14:textId="77777777" w:rsidTr="44AB983F">
        <w:trPr>
          <w:gridAfter w:val="1"/>
          <w:wAfter w:w="547" w:type="dxa"/>
          <w:trHeight w:val="759"/>
        </w:trPr>
        <w:tc>
          <w:tcPr>
            <w:tcW w:w="10541" w:type="dxa"/>
            <w:gridSpan w:val="7"/>
          </w:tcPr>
          <w:p w14:paraId="2073520F" w14:textId="77777777" w:rsidR="00722D92" w:rsidRPr="00A72A95" w:rsidRDefault="00722D92" w:rsidP="00B50617">
            <w:pPr>
              <w:pStyle w:val="ListParagraph"/>
              <w:spacing w:line="360" w:lineRule="auto"/>
              <w:ind w:left="360"/>
              <w:rPr>
                <w:rFonts w:asciiTheme="majorBidi" w:hAnsiTheme="majorBidi" w:cstheme="majorBidi"/>
                <w:szCs w:val="22"/>
              </w:rPr>
            </w:pPr>
          </w:p>
        </w:tc>
      </w:tr>
      <w:tr w:rsidR="00722D92" w:rsidRPr="001814D4" w14:paraId="4D871798" w14:textId="77777777" w:rsidTr="44AB983F">
        <w:trPr>
          <w:gridAfter w:val="1"/>
          <w:wAfter w:w="547" w:type="dxa"/>
          <w:trHeight w:val="480"/>
        </w:trPr>
        <w:tc>
          <w:tcPr>
            <w:tcW w:w="3018" w:type="dxa"/>
            <w:gridSpan w:val="3"/>
          </w:tcPr>
          <w:p w14:paraId="76461A40" w14:textId="77777777" w:rsidR="00722D92" w:rsidRPr="00A72A95" w:rsidRDefault="00722D92" w:rsidP="000D7C13">
            <w:pPr>
              <w:spacing w:line="360" w:lineRule="auto"/>
              <w:rPr>
                <w:rFonts w:asciiTheme="majorBidi" w:hAnsiTheme="majorBidi" w:cstheme="majorBidi"/>
              </w:rPr>
            </w:pPr>
          </w:p>
        </w:tc>
        <w:tc>
          <w:tcPr>
            <w:tcW w:w="7523" w:type="dxa"/>
            <w:gridSpan w:val="4"/>
          </w:tcPr>
          <w:p w14:paraId="7A69F273" w14:textId="77777777" w:rsidR="00722D92" w:rsidRPr="00A72A95" w:rsidRDefault="00722D92" w:rsidP="000D7C13">
            <w:pPr>
              <w:spacing w:line="360" w:lineRule="auto"/>
              <w:rPr>
                <w:rFonts w:asciiTheme="majorBidi" w:hAnsiTheme="majorBidi" w:cstheme="majorBidi"/>
              </w:rPr>
            </w:pPr>
          </w:p>
        </w:tc>
      </w:tr>
      <w:tr w:rsidR="00722D92" w:rsidRPr="001814D4" w14:paraId="047422D1" w14:textId="77777777" w:rsidTr="44AB983F">
        <w:trPr>
          <w:gridAfter w:val="1"/>
          <w:wAfter w:w="547" w:type="dxa"/>
          <w:trHeight w:val="452"/>
        </w:trPr>
        <w:tc>
          <w:tcPr>
            <w:tcW w:w="10541" w:type="dxa"/>
            <w:gridSpan w:val="7"/>
          </w:tcPr>
          <w:p w14:paraId="52A0F8C3" w14:textId="77777777" w:rsidR="00722D92" w:rsidRPr="00A72A95" w:rsidRDefault="00722D92" w:rsidP="000D7C13">
            <w:pPr>
              <w:spacing w:line="360" w:lineRule="auto"/>
              <w:rPr>
                <w:rFonts w:asciiTheme="majorBidi" w:hAnsiTheme="majorBidi" w:cstheme="majorBidi"/>
              </w:rPr>
            </w:pPr>
          </w:p>
        </w:tc>
      </w:tr>
      <w:tr w:rsidR="00722D92" w:rsidRPr="001814D4" w14:paraId="29802B15" w14:textId="77777777" w:rsidTr="44AB983F">
        <w:trPr>
          <w:gridAfter w:val="1"/>
          <w:wAfter w:w="547" w:type="dxa"/>
        </w:trPr>
        <w:tc>
          <w:tcPr>
            <w:tcW w:w="1013" w:type="dxa"/>
          </w:tcPr>
          <w:p w14:paraId="76685476" w14:textId="77777777" w:rsidR="00722D92" w:rsidRPr="00A72A95" w:rsidRDefault="00722D92" w:rsidP="000D7C13">
            <w:pPr>
              <w:spacing w:line="360" w:lineRule="auto"/>
              <w:rPr>
                <w:rFonts w:asciiTheme="majorBidi" w:hAnsiTheme="majorBidi" w:cstheme="majorBidi"/>
                <w:b/>
              </w:rPr>
            </w:pPr>
          </w:p>
        </w:tc>
        <w:tc>
          <w:tcPr>
            <w:tcW w:w="9528" w:type="dxa"/>
            <w:gridSpan w:val="6"/>
          </w:tcPr>
          <w:p w14:paraId="1B7D16F9" w14:textId="77777777" w:rsidR="00722D92" w:rsidRPr="00A72A95" w:rsidRDefault="00722D92" w:rsidP="000D7C13">
            <w:pPr>
              <w:spacing w:line="360" w:lineRule="auto"/>
              <w:rPr>
                <w:rFonts w:asciiTheme="majorBidi" w:hAnsiTheme="majorBidi" w:cstheme="majorBidi"/>
                <w:b/>
              </w:rPr>
            </w:pPr>
          </w:p>
          <w:p w14:paraId="28E71BB6" w14:textId="77777777" w:rsidR="000D7C13" w:rsidRPr="00A72A95" w:rsidRDefault="000D7C13" w:rsidP="000D7C13">
            <w:pPr>
              <w:spacing w:line="360" w:lineRule="auto"/>
              <w:rPr>
                <w:rFonts w:asciiTheme="majorBidi" w:hAnsiTheme="majorBidi" w:cstheme="majorBidi"/>
                <w:b/>
              </w:rPr>
            </w:pPr>
          </w:p>
          <w:p w14:paraId="451ED302" w14:textId="77777777" w:rsidR="000D7C13" w:rsidRDefault="000D7C13" w:rsidP="000D7C13">
            <w:pPr>
              <w:spacing w:line="360" w:lineRule="auto"/>
              <w:rPr>
                <w:rFonts w:asciiTheme="majorBidi" w:hAnsiTheme="majorBidi" w:cstheme="majorBidi"/>
                <w:b/>
              </w:rPr>
            </w:pPr>
          </w:p>
          <w:p w14:paraId="4A91CEEA" w14:textId="77777777" w:rsidR="001814D4" w:rsidRDefault="001814D4" w:rsidP="000D7C13">
            <w:pPr>
              <w:spacing w:line="360" w:lineRule="auto"/>
              <w:rPr>
                <w:rFonts w:asciiTheme="majorBidi" w:hAnsiTheme="majorBidi" w:cstheme="majorBidi"/>
                <w:b/>
              </w:rPr>
            </w:pPr>
          </w:p>
          <w:p w14:paraId="56BBC305" w14:textId="77777777" w:rsidR="001814D4" w:rsidRDefault="001814D4" w:rsidP="000D7C13">
            <w:pPr>
              <w:spacing w:line="360" w:lineRule="auto"/>
              <w:rPr>
                <w:rFonts w:asciiTheme="majorBidi" w:hAnsiTheme="majorBidi" w:cstheme="majorBidi"/>
                <w:b/>
              </w:rPr>
            </w:pPr>
          </w:p>
          <w:p w14:paraId="7C3572C0" w14:textId="77777777" w:rsidR="001814D4" w:rsidRPr="00A72A95" w:rsidRDefault="001814D4" w:rsidP="000D7C13">
            <w:pPr>
              <w:spacing w:line="360" w:lineRule="auto"/>
              <w:rPr>
                <w:rFonts w:asciiTheme="majorBidi" w:hAnsiTheme="majorBidi" w:cstheme="majorBidi"/>
                <w:b/>
              </w:rPr>
            </w:pPr>
          </w:p>
        </w:tc>
      </w:tr>
    </w:tbl>
    <w:p w14:paraId="35019DDF" w14:textId="1F4C1286" w:rsidR="00722D92" w:rsidRPr="00A72A95" w:rsidRDefault="00722D92" w:rsidP="000D7C13">
      <w:pPr>
        <w:spacing w:line="360" w:lineRule="auto"/>
        <w:rPr>
          <w:rFonts w:asciiTheme="majorBidi" w:hAnsiTheme="majorBidi" w:cstheme="majorBidi"/>
          <w:sz w:val="40"/>
          <w:szCs w:val="28"/>
        </w:rPr>
      </w:pPr>
    </w:p>
    <w:p w14:paraId="456F00BB" w14:textId="77777777" w:rsidR="00722D92" w:rsidRPr="00A72A95" w:rsidRDefault="00722D92" w:rsidP="000D7C13">
      <w:pPr>
        <w:spacing w:line="360" w:lineRule="auto"/>
        <w:rPr>
          <w:rFonts w:asciiTheme="majorBidi" w:hAnsiTheme="majorBidi" w:cstheme="majorBidi"/>
        </w:rPr>
      </w:pPr>
    </w:p>
    <w:p w14:paraId="4E7BCDDD" w14:textId="5AE8E012" w:rsidR="005273A7" w:rsidRPr="00C563A2" w:rsidRDefault="005273A7" w:rsidP="1A0CB9F5">
      <w:pPr>
        <w:spacing w:line="360" w:lineRule="auto"/>
        <w:rPr>
          <w:rFonts w:asciiTheme="majorBidi" w:hAnsiTheme="majorBidi" w:cstheme="majorBidi"/>
          <w:b/>
          <w:bCs/>
        </w:rPr>
      </w:pPr>
      <w:r w:rsidRPr="1A0CB9F5">
        <w:rPr>
          <w:rFonts w:asciiTheme="majorBidi" w:hAnsiTheme="majorBidi" w:cstheme="majorBidi"/>
          <w:b/>
          <w:bCs/>
          <w:highlight w:val="yellow"/>
        </w:rPr>
        <w:lastRenderedPageBreak/>
        <w:t xml:space="preserve">This Document was last revised : </w:t>
      </w:r>
      <w:r w:rsidR="00F45D4E">
        <w:rPr>
          <w:rFonts w:asciiTheme="majorBidi" w:hAnsiTheme="majorBidi" w:cstheme="majorBidi"/>
          <w:b/>
          <w:bCs/>
          <w:highlight w:val="yellow"/>
        </w:rPr>
        <w:t>11</w:t>
      </w:r>
      <w:r w:rsidR="535DF4FF" w:rsidRPr="1A0CB9F5">
        <w:rPr>
          <w:rFonts w:asciiTheme="majorBidi" w:hAnsiTheme="majorBidi" w:cstheme="majorBidi"/>
          <w:b/>
          <w:bCs/>
          <w:highlight w:val="yellow"/>
          <w:vertAlign w:val="superscript"/>
        </w:rPr>
        <w:t>th</w:t>
      </w:r>
      <w:r w:rsidR="535DF4FF" w:rsidRPr="1A0CB9F5">
        <w:rPr>
          <w:rFonts w:asciiTheme="majorBidi" w:hAnsiTheme="majorBidi" w:cstheme="majorBidi"/>
          <w:b/>
          <w:bCs/>
          <w:highlight w:val="yellow"/>
        </w:rPr>
        <w:t xml:space="preserve"> </w:t>
      </w:r>
      <w:r w:rsidRPr="1A0CB9F5">
        <w:rPr>
          <w:rFonts w:asciiTheme="majorBidi" w:hAnsiTheme="majorBidi" w:cstheme="majorBidi"/>
          <w:b/>
          <w:bCs/>
          <w:highlight w:val="yellow"/>
        </w:rPr>
        <w:t xml:space="preserve">November </w:t>
      </w:r>
      <w:r w:rsidR="00832207" w:rsidRPr="1A0CB9F5">
        <w:rPr>
          <w:rFonts w:asciiTheme="majorBidi" w:hAnsiTheme="majorBidi" w:cstheme="majorBidi"/>
          <w:b/>
          <w:bCs/>
          <w:highlight w:val="yellow"/>
        </w:rPr>
        <w:t>202</w:t>
      </w:r>
      <w:r w:rsidR="00F45D4E">
        <w:rPr>
          <w:rFonts w:asciiTheme="majorBidi" w:hAnsiTheme="majorBidi" w:cstheme="majorBidi"/>
          <w:b/>
          <w:bCs/>
        </w:rPr>
        <w:t>4</w:t>
      </w:r>
    </w:p>
    <w:p w14:paraId="7E957F82" w14:textId="77777777" w:rsidR="00722D92" w:rsidRPr="00A72A95" w:rsidRDefault="00722D92" w:rsidP="000D7C13">
      <w:pPr>
        <w:spacing w:line="360" w:lineRule="auto"/>
        <w:rPr>
          <w:rFonts w:asciiTheme="majorBidi" w:hAnsiTheme="majorBidi" w:cstheme="majorBidi"/>
        </w:rPr>
      </w:pPr>
    </w:p>
    <w:p w14:paraId="48499177" w14:textId="77777777" w:rsidR="000D7C13" w:rsidRPr="00FC7632" w:rsidRDefault="00A66402" w:rsidP="000D7C13">
      <w:pPr>
        <w:autoSpaceDE w:val="0"/>
        <w:autoSpaceDN w:val="0"/>
        <w:adjustRightInd w:val="0"/>
        <w:spacing w:after="0" w:line="360" w:lineRule="auto"/>
        <w:jc w:val="center"/>
        <w:rPr>
          <w:rFonts w:asciiTheme="majorBidi" w:hAnsiTheme="majorBidi" w:cstheme="majorBidi"/>
          <w:b/>
          <w:bCs/>
          <w:sz w:val="36"/>
          <w:szCs w:val="36"/>
          <w:lang w:val="en-GB"/>
        </w:rPr>
      </w:pPr>
      <w:r w:rsidRPr="00FC7632">
        <w:rPr>
          <w:rFonts w:asciiTheme="majorBidi" w:hAnsiTheme="majorBidi" w:cstheme="majorBidi"/>
          <w:b/>
          <w:bCs/>
          <w:sz w:val="36"/>
          <w:szCs w:val="36"/>
          <w:lang w:val="en-GB"/>
        </w:rPr>
        <w:t xml:space="preserve">Recognition of Prior Learning </w:t>
      </w:r>
      <w:r w:rsidR="00804A70" w:rsidRPr="00FC7632">
        <w:rPr>
          <w:rFonts w:asciiTheme="majorBidi" w:hAnsiTheme="majorBidi" w:cstheme="majorBidi"/>
          <w:b/>
          <w:bCs/>
          <w:sz w:val="36"/>
          <w:szCs w:val="36"/>
          <w:lang w:val="en-GB"/>
        </w:rPr>
        <w:t>Policy</w:t>
      </w:r>
      <w:r w:rsidR="008C0491">
        <w:rPr>
          <w:rFonts w:asciiTheme="majorBidi" w:hAnsiTheme="majorBidi" w:cstheme="majorBidi"/>
          <w:b/>
          <w:bCs/>
          <w:sz w:val="36"/>
          <w:szCs w:val="36"/>
          <w:lang w:val="en-GB"/>
        </w:rPr>
        <w:t xml:space="preserve"> (RPL)</w:t>
      </w:r>
    </w:p>
    <w:p w14:paraId="495E6A28"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461B57E6"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2207E474" w14:textId="77777777" w:rsidR="0097785F" w:rsidRPr="0097785F" w:rsidRDefault="00FC7632" w:rsidP="00FC7632">
      <w:pPr>
        <w:autoSpaceDE w:val="0"/>
        <w:autoSpaceDN w:val="0"/>
        <w:adjustRightInd w:val="0"/>
        <w:spacing w:after="0" w:line="240" w:lineRule="auto"/>
        <w:rPr>
          <w:rFonts w:ascii="Arial" w:hAnsi="Arial" w:cs="Arial"/>
          <w:color w:val="000000"/>
          <w:sz w:val="23"/>
          <w:szCs w:val="23"/>
          <w:lang w:val="en-GB"/>
        </w:rPr>
      </w:pPr>
      <w:r w:rsidRPr="00FC7632">
        <w:rPr>
          <w:rFonts w:ascii="Arial" w:hAnsi="Arial" w:cs="Arial"/>
          <w:color w:val="000000"/>
          <w:sz w:val="23"/>
          <w:szCs w:val="23"/>
          <w:lang w:val="en-GB"/>
        </w:rPr>
        <w:t>This policy reflects the QAA guidelines for recognising prior learning as described in the UK Quality Code</w:t>
      </w:r>
      <w:r>
        <w:rPr>
          <w:rFonts w:ascii="Arial" w:hAnsi="Arial" w:cs="Arial"/>
          <w:color w:val="000000"/>
          <w:sz w:val="23"/>
          <w:szCs w:val="23"/>
          <w:lang w:val="en-GB"/>
        </w:rPr>
        <w:t xml:space="preserve">, Jordan accreditation requirements, </w:t>
      </w:r>
      <w:r w:rsidRPr="00FC7632">
        <w:rPr>
          <w:rFonts w:ascii="Arial" w:hAnsi="Arial" w:cs="Arial"/>
          <w:color w:val="000000"/>
          <w:sz w:val="23"/>
          <w:szCs w:val="23"/>
          <w:lang w:val="en-GB"/>
        </w:rPr>
        <w:t xml:space="preserve">and defines the procedures and guidance for submitting and approving requests for transferring credit in order for a student to be </w:t>
      </w:r>
      <w:r>
        <w:rPr>
          <w:rFonts w:ascii="Arial" w:hAnsi="Arial" w:cs="Arial"/>
          <w:color w:val="000000"/>
          <w:sz w:val="23"/>
          <w:szCs w:val="23"/>
          <w:lang w:val="en-GB"/>
        </w:rPr>
        <w:t>exempted from individual units</w:t>
      </w:r>
      <w:r w:rsidRPr="00FC7632">
        <w:rPr>
          <w:rFonts w:ascii="Arial" w:hAnsi="Arial" w:cs="Arial"/>
          <w:color w:val="000000"/>
          <w:sz w:val="23"/>
          <w:szCs w:val="23"/>
          <w:lang w:val="en-GB"/>
        </w:rPr>
        <w:t xml:space="preserve"> or permitted direct entry to the </w:t>
      </w:r>
      <w:r>
        <w:rPr>
          <w:rFonts w:ascii="Arial" w:hAnsi="Arial" w:cs="Arial"/>
          <w:color w:val="000000"/>
          <w:sz w:val="23"/>
          <w:szCs w:val="23"/>
          <w:lang w:val="en-GB"/>
        </w:rPr>
        <w:t xml:space="preserve">upper level </w:t>
      </w:r>
      <w:r w:rsidRPr="00FC7632">
        <w:rPr>
          <w:rFonts w:ascii="Arial" w:hAnsi="Arial" w:cs="Arial"/>
          <w:color w:val="000000"/>
          <w:sz w:val="23"/>
          <w:szCs w:val="23"/>
          <w:lang w:val="en-GB"/>
        </w:rPr>
        <w:t>of a programme on the basis of prior certified an</w:t>
      </w:r>
      <w:r>
        <w:rPr>
          <w:rFonts w:ascii="Arial" w:hAnsi="Arial" w:cs="Arial"/>
          <w:color w:val="000000"/>
          <w:sz w:val="23"/>
          <w:szCs w:val="23"/>
          <w:lang w:val="en-GB"/>
        </w:rPr>
        <w:t>d/or experiential learning.</w:t>
      </w:r>
    </w:p>
    <w:p w14:paraId="23D3FE13" w14:textId="77777777" w:rsidR="00066CE3" w:rsidRDefault="0097785F" w:rsidP="00066CE3">
      <w:pPr>
        <w:autoSpaceDE w:val="0"/>
        <w:autoSpaceDN w:val="0"/>
        <w:adjustRightInd w:val="0"/>
        <w:spacing w:after="0" w:line="240" w:lineRule="auto"/>
        <w:rPr>
          <w:rFonts w:ascii="Verdana" w:hAnsi="Verdana" w:cs="Verdana"/>
          <w:b/>
          <w:bCs/>
          <w:color w:val="000000"/>
          <w:sz w:val="28"/>
          <w:szCs w:val="28"/>
        </w:rPr>
      </w:pPr>
      <w:r w:rsidRPr="0097785F">
        <w:rPr>
          <w:rFonts w:ascii="Arial" w:hAnsi="Arial" w:cs="Arial"/>
          <w:b/>
          <w:bCs/>
          <w:color w:val="000000"/>
          <w:sz w:val="23"/>
          <w:szCs w:val="23"/>
          <w:lang w:val="en-GB"/>
        </w:rPr>
        <w:t xml:space="preserve">2. </w:t>
      </w:r>
      <w:r w:rsidR="00066CE3" w:rsidRPr="00066CE3">
        <w:rPr>
          <w:rFonts w:ascii="Arial" w:hAnsi="Arial" w:cs="Arial"/>
          <w:b/>
          <w:bCs/>
          <w:color w:val="000000"/>
          <w:sz w:val="23"/>
          <w:szCs w:val="23"/>
          <w:lang w:val="en-GB"/>
        </w:rPr>
        <w:t>Scope of policy</w:t>
      </w:r>
    </w:p>
    <w:p w14:paraId="16C6E0C4" w14:textId="77777777" w:rsidR="00066CE3" w:rsidRP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This policy applies to all Pearson qualifications. This policy does not apply to defined exemptions from examinations or other professional body requirements using BTEC Higher National achievements. For more information regarding these, please consult the BTEC Higher National Professional Recognition and Progression Directory.</w:t>
      </w:r>
    </w:p>
    <w:p w14:paraId="66A98C14" w14:textId="77777777" w:rsidR="00066CE3" w:rsidRDefault="00066CE3" w:rsidP="00066CE3">
      <w:pPr>
        <w:autoSpaceDE w:val="0"/>
        <w:autoSpaceDN w:val="0"/>
        <w:adjustRightInd w:val="0"/>
        <w:spacing w:after="0" w:line="240" w:lineRule="auto"/>
        <w:rPr>
          <w:rFonts w:ascii="Verdana" w:hAnsi="Verdana" w:cs="Verdana"/>
          <w:color w:val="000000"/>
        </w:rPr>
      </w:pPr>
    </w:p>
    <w:p w14:paraId="116FC30B"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3. Policy statement</w:t>
      </w:r>
    </w:p>
    <w:p w14:paraId="079A466E" w14:textId="77777777" w:rsid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 xml:space="preserve">Recognition of Prior Learning (RPL) is a method of assessment </w:t>
      </w:r>
      <w:r>
        <w:rPr>
          <w:rFonts w:ascii="Arial" w:hAnsi="Arial" w:cs="Arial"/>
          <w:color w:val="000000"/>
          <w:sz w:val="23"/>
          <w:szCs w:val="23"/>
          <w:lang w:val="en-GB"/>
        </w:rPr>
        <w:t xml:space="preserve">[leading to the </w:t>
      </w:r>
      <w:r w:rsidRPr="00066CE3">
        <w:rPr>
          <w:rFonts w:ascii="Arial" w:hAnsi="Arial" w:cs="Arial"/>
          <w:color w:val="000000"/>
          <w:sz w:val="23"/>
          <w:szCs w:val="23"/>
          <w:lang w:val="en-GB"/>
        </w:rPr>
        <w:t>award of credit] that considers whether learners can demonstrate that they can</w:t>
      </w:r>
      <w:r>
        <w:rPr>
          <w:rFonts w:ascii="Arial" w:hAnsi="Arial" w:cs="Arial"/>
          <w:color w:val="000000"/>
          <w:sz w:val="23"/>
          <w:szCs w:val="23"/>
          <w:lang w:val="en-GB"/>
        </w:rPr>
        <w:t xml:space="preserve"> </w:t>
      </w:r>
      <w:r w:rsidRPr="00066CE3">
        <w:rPr>
          <w:rFonts w:ascii="Arial" w:hAnsi="Arial" w:cs="Arial"/>
          <w:color w:val="000000"/>
          <w:sz w:val="23"/>
          <w:szCs w:val="23"/>
          <w:lang w:val="en-GB"/>
        </w:rPr>
        <w:t>meet the assessment requirements for a unit through knowledge, understanding</w:t>
      </w:r>
      <w:r>
        <w:rPr>
          <w:rFonts w:ascii="Arial" w:hAnsi="Arial" w:cs="Arial"/>
          <w:color w:val="000000"/>
          <w:sz w:val="23"/>
          <w:szCs w:val="23"/>
          <w:lang w:val="en-GB"/>
        </w:rPr>
        <w:t xml:space="preserve"> </w:t>
      </w:r>
      <w:r w:rsidRPr="00066CE3">
        <w:rPr>
          <w:rFonts w:ascii="Arial" w:hAnsi="Arial" w:cs="Arial"/>
          <w:color w:val="000000"/>
          <w:sz w:val="23"/>
          <w:szCs w:val="23"/>
          <w:lang w:val="en-GB"/>
        </w:rPr>
        <w:t>or skills they already possess and do not need to develop through a course of</w:t>
      </w:r>
      <w:r>
        <w:rPr>
          <w:rFonts w:ascii="Arial" w:hAnsi="Arial" w:cs="Arial"/>
          <w:color w:val="000000"/>
          <w:sz w:val="23"/>
          <w:szCs w:val="23"/>
          <w:lang w:val="en-GB"/>
        </w:rPr>
        <w:t xml:space="preserve"> </w:t>
      </w:r>
      <w:r w:rsidRPr="00066CE3">
        <w:rPr>
          <w:rFonts w:ascii="Arial" w:hAnsi="Arial" w:cs="Arial"/>
          <w:color w:val="000000"/>
          <w:sz w:val="23"/>
          <w:szCs w:val="23"/>
          <w:lang w:val="en-GB"/>
        </w:rPr>
        <w:t>learning.</w:t>
      </w:r>
      <w:r>
        <w:rPr>
          <w:rFonts w:ascii="Arial" w:hAnsi="Arial" w:cs="Arial"/>
          <w:color w:val="000000"/>
          <w:sz w:val="23"/>
          <w:szCs w:val="23"/>
          <w:lang w:val="en-GB"/>
        </w:rPr>
        <w:t xml:space="preserve"> </w:t>
      </w:r>
    </w:p>
    <w:p w14:paraId="448C9DBD" w14:textId="77777777" w:rsidR="00066CE3" w:rsidRDefault="00066CE3" w:rsidP="00066CE3">
      <w:pPr>
        <w:autoSpaceDE w:val="0"/>
        <w:autoSpaceDN w:val="0"/>
        <w:adjustRightInd w:val="0"/>
        <w:spacing w:after="0" w:line="240" w:lineRule="auto"/>
        <w:rPr>
          <w:rFonts w:ascii="Arial" w:hAnsi="Arial" w:cs="Arial"/>
          <w:color w:val="000000"/>
          <w:sz w:val="23"/>
          <w:szCs w:val="23"/>
          <w:lang w:val="en-GB"/>
        </w:rPr>
      </w:pPr>
    </w:p>
    <w:p w14:paraId="618C22D7" w14:textId="77777777" w:rsidR="00066CE3" w:rsidRPr="008C0491" w:rsidRDefault="00066CE3" w:rsidP="00066CE3">
      <w:pPr>
        <w:autoSpaceDE w:val="0"/>
        <w:autoSpaceDN w:val="0"/>
        <w:adjustRightInd w:val="0"/>
        <w:spacing w:after="0" w:line="240" w:lineRule="auto"/>
        <w:rPr>
          <w:rFonts w:ascii="Verdana" w:hAnsi="Verdana" w:cs="Verdana"/>
          <w:b/>
          <w:color w:val="000000"/>
          <w:sz w:val="20"/>
          <w:szCs w:val="20"/>
        </w:rPr>
      </w:pPr>
      <w:r w:rsidRPr="008C0491">
        <w:rPr>
          <w:rFonts w:ascii="Arial" w:hAnsi="Arial" w:cs="Arial"/>
          <w:b/>
          <w:color w:val="000000"/>
          <w:sz w:val="23"/>
          <w:szCs w:val="23"/>
          <w:highlight w:val="yellow"/>
          <w:lang w:val="en-GB"/>
        </w:rPr>
        <w:t>Note: RPL should not be confused with exemption and unit equivalency</w:t>
      </w:r>
      <w:r w:rsidR="002F32DA" w:rsidRPr="008C0491">
        <w:rPr>
          <w:rStyle w:val="EndnoteReference"/>
          <w:rFonts w:ascii="Verdana" w:hAnsi="Verdana" w:cs="Verdana"/>
          <w:b/>
          <w:color w:val="000000"/>
          <w:sz w:val="20"/>
          <w:szCs w:val="20"/>
          <w:highlight w:val="yellow"/>
        </w:rPr>
        <w:endnoteReference w:id="1"/>
      </w:r>
    </w:p>
    <w:p w14:paraId="5821815F" w14:textId="77777777" w:rsidR="00066CE3" w:rsidRPr="008C0491" w:rsidRDefault="00066CE3" w:rsidP="00066CE3">
      <w:pPr>
        <w:autoSpaceDE w:val="0"/>
        <w:autoSpaceDN w:val="0"/>
        <w:adjustRightInd w:val="0"/>
        <w:spacing w:after="0" w:line="240" w:lineRule="auto"/>
        <w:rPr>
          <w:rFonts w:ascii="Verdana" w:hAnsi="Verdana" w:cs="Verdana"/>
          <w:b/>
          <w:color w:val="000000"/>
        </w:rPr>
      </w:pPr>
    </w:p>
    <w:p w14:paraId="186D0F9A" w14:textId="77777777" w:rsidR="00066CE3" w:rsidRDefault="00066CE3" w:rsidP="00066CE3">
      <w:pPr>
        <w:autoSpaceDE w:val="0"/>
        <w:autoSpaceDN w:val="0"/>
        <w:adjustRightInd w:val="0"/>
        <w:spacing w:after="0" w:line="240" w:lineRule="auto"/>
        <w:rPr>
          <w:rFonts w:ascii="Verdana" w:hAnsi="Verdana" w:cs="Verdana"/>
          <w:color w:val="000000"/>
        </w:rPr>
      </w:pPr>
    </w:p>
    <w:p w14:paraId="2AFC449D"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RPL enables recognition of achievement from a range of activities using any appropriate assessment methodology. Provided that the assessment requirements</w:t>
      </w:r>
    </w:p>
    <w:p w14:paraId="2AE10152"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of a given unit or qualification have been met, the use of RPL is acceptable for accrediting a unit, units or a whole qualification. Evidence of learning must be:</w:t>
      </w:r>
    </w:p>
    <w:p w14:paraId="14FC68CE" w14:textId="77777777"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Valid</w:t>
      </w:r>
    </w:p>
    <w:p w14:paraId="324D5B49" w14:textId="77777777"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Reliable.</w:t>
      </w:r>
    </w:p>
    <w:p w14:paraId="5CB3DF0D"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Pearson encourages the use of RPL where it is of value to HTU and learners in facilitating assessment. HTU when uses RPL, it will follow these principles and keep appropriate records.</w:t>
      </w:r>
    </w:p>
    <w:p w14:paraId="7B80E643" w14:textId="77777777" w:rsidR="00066CE3" w:rsidRDefault="00066CE3" w:rsidP="00066CE3">
      <w:pPr>
        <w:autoSpaceDE w:val="0"/>
        <w:autoSpaceDN w:val="0"/>
        <w:adjustRightInd w:val="0"/>
        <w:spacing w:after="0" w:line="240" w:lineRule="auto"/>
        <w:rPr>
          <w:rFonts w:ascii="Verdana" w:hAnsi="Verdana" w:cs="Verdana"/>
          <w:color w:val="000000"/>
        </w:rPr>
      </w:pPr>
    </w:p>
    <w:p w14:paraId="1B0E91CD" w14:textId="77777777"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14:paraId="18FC29E3" w14:textId="77777777"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14:paraId="1CDF96B9"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4. Terminology</w:t>
      </w:r>
    </w:p>
    <w:p w14:paraId="48A605F5"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RPL policies and procedures will be further developed over time, which may lead to the use of a number of terms to describe the process. Among the most common are:</w:t>
      </w:r>
    </w:p>
    <w:p w14:paraId="243F5E2C"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lastRenderedPageBreak/>
        <w:t>Accreditation of Prior Learning (APL)</w:t>
      </w:r>
    </w:p>
    <w:p w14:paraId="2E0C937B"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Experiential Learning (APEL)</w:t>
      </w:r>
    </w:p>
    <w:p w14:paraId="338292D3"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Achievement (APA)</w:t>
      </w:r>
    </w:p>
    <w:p w14:paraId="33478AE2"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Learning and Achievement (APLA).</w:t>
      </w:r>
    </w:p>
    <w:p w14:paraId="5AA7DEF6"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These terms broadly describe the same process. Pearson uses the term</w:t>
      </w:r>
    </w:p>
    <w:p w14:paraId="75215B8E"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Recognition of Prior Learning (RPL).</w:t>
      </w:r>
    </w:p>
    <w:p w14:paraId="1BC24EC6" w14:textId="77777777" w:rsidR="00066CE3" w:rsidRDefault="00066CE3" w:rsidP="00066CE3">
      <w:pPr>
        <w:autoSpaceDE w:val="0"/>
        <w:autoSpaceDN w:val="0"/>
        <w:adjustRightInd w:val="0"/>
        <w:spacing w:after="0" w:line="240" w:lineRule="auto"/>
        <w:rPr>
          <w:rFonts w:ascii="Arial" w:hAnsi="Arial" w:cs="Arial"/>
          <w:b/>
          <w:bCs/>
          <w:color w:val="000000"/>
          <w:sz w:val="23"/>
          <w:szCs w:val="23"/>
          <w:lang w:val="en-GB"/>
        </w:rPr>
      </w:pPr>
    </w:p>
    <w:p w14:paraId="0854C2E5"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5. Amplification</w:t>
      </w:r>
    </w:p>
    <w:p w14:paraId="36C5912D"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use and application of RPL is of particular value to learners without formal qualifications, who are either in employment, preparing to enter, or returning to employment. It enables them to gain all or part of a qualification without having to underta</w:t>
      </w:r>
      <w:r>
        <w:rPr>
          <w:rFonts w:ascii="Verdana" w:hAnsi="Verdana" w:cs="Verdana"/>
          <w:color w:val="000000"/>
          <w:lang w:val="en-GB"/>
        </w:rPr>
        <w:t xml:space="preserve">ke a formal learning programme. </w:t>
      </w:r>
      <w:r w:rsidRPr="00066CE3">
        <w:rPr>
          <w:rFonts w:ascii="Verdana" w:hAnsi="Verdana" w:cs="Verdana"/>
          <w:color w:val="000000"/>
          <w:lang w:val="en-GB"/>
        </w:rPr>
        <w:t>RPL can be used where a learner has not ha</w:t>
      </w:r>
      <w:r w:rsidR="002F32DA">
        <w:rPr>
          <w:rFonts w:ascii="Verdana" w:hAnsi="Verdana" w:cs="Verdana"/>
          <w:color w:val="000000"/>
          <w:lang w:val="en-GB"/>
        </w:rPr>
        <w:t xml:space="preserve">d their prior learning formally </w:t>
      </w:r>
      <w:r w:rsidRPr="00066CE3">
        <w:rPr>
          <w:rFonts w:ascii="Verdana" w:hAnsi="Verdana" w:cs="Verdana"/>
          <w:color w:val="000000"/>
          <w:lang w:val="en-GB"/>
        </w:rPr>
        <w:t>recognised.</w:t>
      </w:r>
    </w:p>
    <w:p w14:paraId="545F37D9"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63EE6B21"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RPL focuses on assessment and awarding for prior learning which may count as</w:t>
      </w:r>
    </w:p>
    <w:p w14:paraId="4C90AF06"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evidence towards:</w:t>
      </w:r>
    </w:p>
    <w:p w14:paraId="65975171"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TimesNewRomanPSMT" w:hAnsi="TimesNewRomanPSMT" w:cs="TimesNewRomanPSMT"/>
          <w:color w:val="000000"/>
          <w:lang w:val="en-GB"/>
        </w:rPr>
        <w:t xml:space="preserve">_ </w:t>
      </w:r>
      <w:r w:rsidRPr="00066CE3">
        <w:rPr>
          <w:rFonts w:ascii="Verdana" w:hAnsi="Verdana" w:cs="Verdana"/>
          <w:color w:val="000000"/>
          <w:lang w:val="en-GB"/>
        </w:rPr>
        <w:t>A unit accumulated towards a full Pearson qualification</w:t>
      </w:r>
    </w:p>
    <w:p w14:paraId="791C5B33"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_ A unit or units recognised by a Pearson Certificate of Achievement of a full</w:t>
      </w:r>
    </w:p>
    <w:p w14:paraId="4FE3BD18"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Pearson qualification.</w:t>
      </w:r>
    </w:p>
    <w:p w14:paraId="6EDA2E70"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43346E08"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All evidence</w:t>
      </w:r>
      <w:r w:rsidR="002F32DA">
        <w:rPr>
          <w:rFonts w:ascii="Verdana" w:hAnsi="Verdana" w:cs="Verdana"/>
          <w:color w:val="000000"/>
          <w:lang w:val="en-GB"/>
        </w:rPr>
        <w:t>s</w:t>
      </w:r>
      <w:r w:rsidRPr="00066CE3">
        <w:rPr>
          <w:rFonts w:ascii="Verdana" w:hAnsi="Verdana" w:cs="Verdana"/>
          <w:color w:val="000000"/>
          <w:lang w:val="en-GB"/>
        </w:rPr>
        <w:t xml:space="preserve"> must be evaluated using the s</w:t>
      </w:r>
      <w:r w:rsidR="002F32DA">
        <w:rPr>
          <w:rFonts w:ascii="Verdana" w:hAnsi="Verdana" w:cs="Verdana"/>
          <w:color w:val="000000"/>
          <w:lang w:val="en-GB"/>
        </w:rPr>
        <w:t xml:space="preserve">tipulated learning outcomes and </w:t>
      </w:r>
      <w:r w:rsidRPr="00066CE3">
        <w:rPr>
          <w:rFonts w:ascii="Verdana" w:hAnsi="Verdana" w:cs="Verdana"/>
          <w:color w:val="000000"/>
          <w:lang w:val="en-GB"/>
        </w:rPr>
        <w:t>assessment criteria from the qualification or uni</w:t>
      </w:r>
      <w:r w:rsidR="002F32DA">
        <w:rPr>
          <w:rFonts w:ascii="Verdana" w:hAnsi="Verdana" w:cs="Verdana"/>
          <w:color w:val="000000"/>
          <w:lang w:val="en-GB"/>
        </w:rPr>
        <w:t xml:space="preserve">t being claimed. In assessing a </w:t>
      </w:r>
      <w:r w:rsidRPr="00066CE3">
        <w:rPr>
          <w:rFonts w:ascii="Verdana" w:hAnsi="Verdana" w:cs="Verdana"/>
          <w:color w:val="000000"/>
          <w:lang w:val="en-GB"/>
        </w:rPr>
        <w:t>unit using RPL the assessor must be satisfied that the evidence produced by the</w:t>
      </w:r>
      <w:r w:rsidR="002F32DA">
        <w:rPr>
          <w:rFonts w:ascii="Verdana" w:hAnsi="Verdana" w:cs="Verdana"/>
          <w:color w:val="000000"/>
          <w:lang w:val="en-GB"/>
        </w:rPr>
        <w:t xml:space="preserve"> </w:t>
      </w:r>
      <w:r w:rsidRPr="00066CE3">
        <w:rPr>
          <w:rFonts w:ascii="Verdana" w:hAnsi="Verdana" w:cs="Verdana"/>
          <w:color w:val="000000"/>
          <w:lang w:val="en-GB"/>
        </w:rPr>
        <w:t>learner meets the assessment standard established by the learning outcome and</w:t>
      </w:r>
      <w:r w:rsidR="002F32DA">
        <w:rPr>
          <w:rFonts w:ascii="Verdana" w:hAnsi="Verdana" w:cs="Verdana"/>
          <w:color w:val="000000"/>
          <w:lang w:val="en-GB"/>
        </w:rPr>
        <w:t xml:space="preserve"> </w:t>
      </w:r>
      <w:r w:rsidRPr="00066CE3">
        <w:rPr>
          <w:rFonts w:ascii="Verdana" w:hAnsi="Verdana" w:cs="Verdana"/>
          <w:color w:val="000000"/>
          <w:lang w:val="en-GB"/>
        </w:rPr>
        <w:t xml:space="preserve">its related assessment criteria. </w:t>
      </w:r>
      <w:r w:rsidR="002F32DA">
        <w:rPr>
          <w:rFonts w:ascii="Verdana" w:hAnsi="Verdana" w:cs="Verdana"/>
          <w:color w:val="000000"/>
          <w:lang w:val="en-GB"/>
        </w:rPr>
        <w:t>HTU has</w:t>
      </w:r>
      <w:r w:rsidRPr="00066CE3">
        <w:rPr>
          <w:rFonts w:ascii="Verdana" w:hAnsi="Verdana" w:cs="Verdana"/>
          <w:color w:val="000000"/>
          <w:lang w:val="en-GB"/>
        </w:rPr>
        <w:t xml:space="preserve"> personnel with</w:t>
      </w:r>
      <w:r w:rsidR="002F32DA">
        <w:rPr>
          <w:rFonts w:ascii="Verdana" w:hAnsi="Verdana" w:cs="Verdana"/>
          <w:color w:val="000000"/>
          <w:lang w:val="en-GB"/>
        </w:rPr>
        <w:t xml:space="preserve"> </w:t>
      </w:r>
      <w:r w:rsidRPr="00066CE3">
        <w:rPr>
          <w:rFonts w:ascii="Verdana" w:hAnsi="Verdana" w:cs="Verdana"/>
          <w:color w:val="000000"/>
          <w:lang w:val="en-GB"/>
        </w:rPr>
        <w:t>appropriate expertise and knowledge to facilitate this.</w:t>
      </w:r>
    </w:p>
    <w:p w14:paraId="4D6DFFBF"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0FF9303C" w14:textId="77777777" w:rsidR="00066CE3" w:rsidRDefault="00066CE3" w:rsidP="002F32DA">
      <w:pPr>
        <w:autoSpaceDE w:val="0"/>
        <w:autoSpaceDN w:val="0"/>
        <w:adjustRightInd w:val="0"/>
        <w:spacing w:after="0" w:line="240" w:lineRule="auto"/>
        <w:rPr>
          <w:rFonts w:ascii="Verdana" w:hAnsi="Verdana" w:cs="Verdana"/>
          <w:color w:val="000000"/>
          <w:lang w:val="en-GB"/>
        </w:rPr>
      </w:pPr>
      <w:r w:rsidRPr="000C757C">
        <w:rPr>
          <w:rFonts w:ascii="Verdana" w:hAnsi="Verdana" w:cs="Verdana"/>
          <w:b/>
          <w:color w:val="000000"/>
          <w:lang w:val="en-GB"/>
        </w:rPr>
        <w:t>Most often RPL will be used for units</w:t>
      </w:r>
      <w:r w:rsidRPr="00066CE3">
        <w:rPr>
          <w:rFonts w:ascii="Verdana" w:hAnsi="Verdana" w:cs="Verdana"/>
          <w:color w:val="000000"/>
          <w:lang w:val="en-GB"/>
        </w:rPr>
        <w:t>. It is acceptable to claim for an entire</w:t>
      </w:r>
      <w:r w:rsidR="002F32DA">
        <w:rPr>
          <w:rFonts w:ascii="Verdana" w:hAnsi="Verdana" w:cs="Verdana"/>
          <w:color w:val="000000"/>
          <w:lang w:val="en-GB"/>
        </w:rPr>
        <w:t xml:space="preserve"> </w:t>
      </w:r>
      <w:r w:rsidRPr="00066CE3">
        <w:rPr>
          <w:rFonts w:ascii="Verdana" w:hAnsi="Verdana" w:cs="Verdana"/>
          <w:color w:val="000000"/>
          <w:lang w:val="en-GB"/>
        </w:rPr>
        <w:t>qualification through RPL although this is not the normal practice because it would</w:t>
      </w:r>
      <w:r w:rsidR="002F32DA">
        <w:rPr>
          <w:rFonts w:ascii="Verdana" w:hAnsi="Verdana" w:cs="Verdana"/>
          <w:color w:val="000000"/>
          <w:lang w:val="en-GB"/>
        </w:rPr>
        <w:t xml:space="preserve"> </w:t>
      </w:r>
      <w:r w:rsidRPr="00066CE3">
        <w:rPr>
          <w:rFonts w:ascii="Verdana" w:hAnsi="Verdana" w:cs="Verdana"/>
          <w:color w:val="000000"/>
          <w:lang w:val="en-GB"/>
        </w:rPr>
        <w:t>be unusual for a learner to be able to offer pr</w:t>
      </w:r>
      <w:r w:rsidR="002F32DA">
        <w:rPr>
          <w:rFonts w:ascii="Verdana" w:hAnsi="Verdana" w:cs="Verdana"/>
          <w:color w:val="000000"/>
          <w:lang w:val="en-GB"/>
        </w:rPr>
        <w:t xml:space="preserve">ior achievement that completely </w:t>
      </w:r>
      <w:r w:rsidRPr="00066CE3">
        <w:rPr>
          <w:rFonts w:ascii="Verdana" w:hAnsi="Verdana" w:cs="Verdana"/>
          <w:color w:val="000000"/>
          <w:lang w:val="en-GB"/>
        </w:rPr>
        <w:t>matches every aspect of a qualification’s assessment requirements.</w:t>
      </w:r>
    </w:p>
    <w:p w14:paraId="65BC2C36"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7EF8F937" w14:textId="77777777" w:rsid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prior achievement that would provide evidence of current knowledge,</w:t>
      </w:r>
      <w:r w:rsidR="002F32DA">
        <w:rPr>
          <w:rFonts w:ascii="Verdana" w:hAnsi="Verdana" w:cs="Verdana"/>
          <w:color w:val="000000"/>
          <w:lang w:val="en-GB"/>
        </w:rPr>
        <w:t xml:space="preserve"> </w:t>
      </w:r>
      <w:r w:rsidRPr="00066CE3">
        <w:rPr>
          <w:rFonts w:ascii="Verdana" w:hAnsi="Verdana" w:cs="Verdana"/>
          <w:color w:val="000000"/>
          <w:lang w:val="en-GB"/>
        </w:rPr>
        <w:t>understanding and skills will vary from sector t</w:t>
      </w:r>
      <w:r w:rsidR="002F32DA">
        <w:rPr>
          <w:rFonts w:ascii="Verdana" w:hAnsi="Verdana" w:cs="Verdana"/>
          <w:color w:val="000000"/>
          <w:lang w:val="en-GB"/>
        </w:rPr>
        <w:t xml:space="preserve">o sector. It will depend on the </w:t>
      </w:r>
      <w:r w:rsidRPr="00066CE3">
        <w:rPr>
          <w:rFonts w:ascii="Verdana" w:hAnsi="Verdana" w:cs="Verdana"/>
          <w:color w:val="000000"/>
          <w:lang w:val="en-GB"/>
        </w:rPr>
        <w:t>extent of the experience, technological changes and the nature of</w:t>
      </w:r>
      <w:r w:rsidR="002F32DA">
        <w:rPr>
          <w:rFonts w:ascii="Verdana" w:hAnsi="Verdana" w:cs="Verdana"/>
          <w:color w:val="000000"/>
          <w:lang w:val="en-GB"/>
        </w:rPr>
        <w:t xml:space="preserve"> </w:t>
      </w:r>
      <w:r w:rsidRPr="00066CE3">
        <w:rPr>
          <w:rFonts w:ascii="Verdana" w:hAnsi="Verdana" w:cs="Verdana"/>
          <w:color w:val="000000"/>
          <w:lang w:val="en-GB"/>
        </w:rPr>
        <w:t>the outcome claimed. If the currency of any evidence is in doubt, the assessor</w:t>
      </w:r>
      <w:r w:rsidR="002F32DA">
        <w:rPr>
          <w:rFonts w:ascii="Verdana" w:hAnsi="Verdana" w:cs="Verdana"/>
          <w:color w:val="000000"/>
          <w:lang w:val="en-GB"/>
        </w:rPr>
        <w:t xml:space="preserve"> </w:t>
      </w:r>
      <w:r w:rsidRPr="00066CE3">
        <w:rPr>
          <w:rFonts w:ascii="Verdana" w:hAnsi="Verdana" w:cs="Verdana"/>
          <w:color w:val="000000"/>
          <w:lang w:val="en-GB"/>
        </w:rPr>
        <w:t>may use questions to check understanding, and ask for the demonstration of skills</w:t>
      </w:r>
      <w:r w:rsidR="002F32DA">
        <w:rPr>
          <w:rFonts w:ascii="Verdana" w:hAnsi="Verdana" w:cs="Verdana"/>
          <w:color w:val="000000"/>
          <w:lang w:val="en-GB"/>
        </w:rPr>
        <w:t xml:space="preserve"> </w:t>
      </w:r>
      <w:r w:rsidRPr="00066CE3">
        <w:rPr>
          <w:rFonts w:ascii="Verdana" w:hAnsi="Verdana" w:cs="Verdana"/>
          <w:color w:val="000000"/>
          <w:lang w:val="en-GB"/>
        </w:rPr>
        <w:t>to check competence. Note that the assessment strategy for each qualification</w:t>
      </w:r>
      <w:r w:rsidR="002F32DA">
        <w:rPr>
          <w:rFonts w:ascii="Verdana" w:hAnsi="Verdana" w:cs="Verdana"/>
          <w:color w:val="000000"/>
          <w:lang w:val="en-GB"/>
        </w:rPr>
        <w:t xml:space="preserve"> </w:t>
      </w:r>
      <w:r w:rsidRPr="00066CE3">
        <w:rPr>
          <w:rFonts w:ascii="Verdana" w:hAnsi="Verdana" w:cs="Verdana"/>
          <w:color w:val="000000"/>
          <w:lang w:val="en-GB"/>
        </w:rPr>
        <w:t>must be adhered to.</w:t>
      </w:r>
    </w:p>
    <w:p w14:paraId="307DBEDF"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63104FA5"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Where evidence is assessed to be only sufficient t</w:t>
      </w:r>
      <w:r w:rsidR="002F32DA">
        <w:rPr>
          <w:rFonts w:ascii="Verdana" w:hAnsi="Verdana" w:cs="Verdana"/>
          <w:color w:val="000000"/>
          <w:lang w:val="en-GB"/>
        </w:rPr>
        <w:t xml:space="preserve">o cover one or more learning </w:t>
      </w:r>
      <w:r w:rsidRPr="00066CE3">
        <w:rPr>
          <w:rFonts w:ascii="Verdana" w:hAnsi="Verdana" w:cs="Verdana"/>
          <w:color w:val="000000"/>
          <w:lang w:val="en-GB"/>
        </w:rPr>
        <w:t>outcomes, or to partly meet the need of a le</w:t>
      </w:r>
      <w:r w:rsidR="002F32DA">
        <w:rPr>
          <w:rFonts w:ascii="Verdana" w:hAnsi="Verdana" w:cs="Verdana"/>
          <w:color w:val="000000"/>
          <w:lang w:val="en-GB"/>
        </w:rPr>
        <w:t xml:space="preserve">arning outcome, then additional </w:t>
      </w:r>
      <w:r w:rsidRPr="00066CE3">
        <w:rPr>
          <w:rFonts w:ascii="Verdana" w:hAnsi="Verdana" w:cs="Verdana"/>
          <w:color w:val="000000"/>
          <w:lang w:val="en-GB"/>
        </w:rPr>
        <w:t>assessment methods should be used to generate sufficient evidence to be able to</w:t>
      </w:r>
    </w:p>
    <w:p w14:paraId="03CC5698" w14:textId="77777777" w:rsid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award the learning outcome(s) for the whole unit.</w:t>
      </w:r>
    </w:p>
    <w:p w14:paraId="5122BD0A"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3CBB0ED6"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lastRenderedPageBreak/>
        <w:t xml:space="preserve">The RPL process is </w:t>
      </w:r>
      <w:r w:rsidRPr="00066CE3">
        <w:rPr>
          <w:rFonts w:ascii="Verdana" w:hAnsi="Verdana" w:cs="Verdana"/>
          <w:b/>
          <w:bCs/>
          <w:color w:val="000000"/>
          <w:lang w:val="en-GB"/>
        </w:rPr>
        <w:t xml:space="preserve">not </w:t>
      </w:r>
      <w:r w:rsidRPr="00066CE3">
        <w:rPr>
          <w:rFonts w:ascii="Verdana" w:hAnsi="Verdana" w:cs="Verdana"/>
          <w:color w:val="000000"/>
          <w:lang w:val="en-GB"/>
        </w:rPr>
        <w:t>concerned with allowing for exceptional entry to, or</w:t>
      </w:r>
      <w:r w:rsidR="002F32DA">
        <w:rPr>
          <w:rFonts w:ascii="Verdana" w:hAnsi="Verdana" w:cs="Verdana"/>
          <w:color w:val="000000"/>
          <w:lang w:val="en-GB"/>
        </w:rPr>
        <w:t xml:space="preserve"> </w:t>
      </w:r>
      <w:r w:rsidRPr="00066CE3">
        <w:rPr>
          <w:rFonts w:ascii="Verdana" w:hAnsi="Verdana" w:cs="Verdana"/>
          <w:color w:val="000000"/>
          <w:lang w:val="en-GB"/>
        </w:rPr>
        <w:t>exemption from, a programme of study.</w:t>
      </w:r>
    </w:p>
    <w:p w14:paraId="6F34F84A"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5E2612D6"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The RPL process does </w:t>
      </w:r>
      <w:r w:rsidRPr="00066CE3">
        <w:rPr>
          <w:rFonts w:ascii="Verdana" w:hAnsi="Verdana" w:cs="Verdana"/>
          <w:b/>
          <w:bCs/>
          <w:color w:val="000000"/>
          <w:lang w:val="en-GB"/>
        </w:rPr>
        <w:t xml:space="preserve">not </w:t>
      </w:r>
      <w:r w:rsidRPr="00066CE3">
        <w:rPr>
          <w:rFonts w:ascii="Verdana" w:hAnsi="Verdana" w:cs="Verdana"/>
          <w:color w:val="000000"/>
          <w:lang w:val="en-GB"/>
        </w:rPr>
        <w:t>allow the recognition of any unit or qualification</w:t>
      </w:r>
      <w:r w:rsidR="002F32DA">
        <w:rPr>
          <w:rFonts w:ascii="Verdana" w:hAnsi="Verdana" w:cs="Verdana"/>
          <w:color w:val="000000"/>
          <w:lang w:val="en-GB"/>
        </w:rPr>
        <w:t xml:space="preserve"> </w:t>
      </w:r>
      <w:r w:rsidRPr="00066CE3">
        <w:rPr>
          <w:rFonts w:ascii="Verdana" w:hAnsi="Verdana" w:cs="Verdana"/>
          <w:color w:val="000000"/>
          <w:lang w:val="en-GB"/>
        </w:rPr>
        <w:t>assessed by external assessment only. This is because such units are subject to</w:t>
      </w:r>
      <w:r w:rsidR="002F32DA">
        <w:rPr>
          <w:rFonts w:ascii="Verdana" w:hAnsi="Verdana" w:cs="Verdana"/>
          <w:color w:val="000000"/>
          <w:lang w:val="en-GB"/>
        </w:rPr>
        <w:t xml:space="preserve"> </w:t>
      </w:r>
      <w:r w:rsidRPr="00066CE3">
        <w:rPr>
          <w:rFonts w:ascii="Verdana" w:hAnsi="Verdana" w:cs="Verdana"/>
          <w:color w:val="000000"/>
          <w:lang w:val="en-GB"/>
        </w:rPr>
        <w:t>specific evidence requirements.</w:t>
      </w:r>
    </w:p>
    <w:p w14:paraId="75AD8191" w14:textId="77777777" w:rsidR="002F32DA" w:rsidRDefault="002F32DA" w:rsidP="002F32DA">
      <w:pPr>
        <w:autoSpaceDE w:val="0"/>
        <w:autoSpaceDN w:val="0"/>
        <w:adjustRightInd w:val="0"/>
        <w:spacing w:after="0" w:line="240" w:lineRule="auto"/>
        <w:rPr>
          <w:rFonts w:ascii="Verdana" w:hAnsi="Verdana" w:cs="Verdana"/>
          <w:color w:val="000000"/>
          <w:lang w:val="en-GB"/>
        </w:rPr>
      </w:pPr>
    </w:p>
    <w:p w14:paraId="1C50921C" w14:textId="77777777" w:rsidR="00066CE3" w:rsidRPr="00066CE3" w:rsidRDefault="002F32DA" w:rsidP="002F32DA">
      <w:pPr>
        <w:autoSpaceDE w:val="0"/>
        <w:autoSpaceDN w:val="0"/>
        <w:adjustRightInd w:val="0"/>
        <w:spacing w:after="0" w:line="240" w:lineRule="auto"/>
        <w:rPr>
          <w:rFonts w:ascii="Verdana" w:hAnsi="Verdana" w:cs="Verdana"/>
          <w:color w:val="000000"/>
          <w:lang w:val="en-GB"/>
        </w:rPr>
      </w:pPr>
      <w:r w:rsidRPr="1A0CB9F5">
        <w:rPr>
          <w:rFonts w:ascii="Verdana" w:hAnsi="Verdana" w:cs="Verdana"/>
          <w:color w:val="000000" w:themeColor="text1"/>
          <w:lang w:val="en-GB"/>
        </w:rPr>
        <w:t>T</w:t>
      </w:r>
      <w:r w:rsidR="00066CE3" w:rsidRPr="1A0CB9F5">
        <w:rPr>
          <w:rFonts w:ascii="Verdana" w:hAnsi="Verdana" w:cs="Verdana"/>
          <w:color w:val="000000" w:themeColor="text1"/>
          <w:lang w:val="en-GB"/>
        </w:rPr>
        <w:t xml:space="preserve">o carry out RPL </w:t>
      </w:r>
      <w:r w:rsidRPr="1A0CB9F5">
        <w:rPr>
          <w:rFonts w:ascii="Verdana" w:hAnsi="Verdana" w:cs="Verdana"/>
          <w:color w:val="000000" w:themeColor="text1"/>
          <w:lang w:val="en-GB"/>
        </w:rPr>
        <w:t xml:space="preserve">policy HTU will </w:t>
      </w:r>
      <w:r w:rsidR="00066CE3" w:rsidRPr="1A0CB9F5">
        <w:rPr>
          <w:rFonts w:ascii="Verdana" w:hAnsi="Verdana" w:cs="Verdana"/>
          <w:color w:val="000000" w:themeColor="text1"/>
          <w:lang w:val="en-GB"/>
        </w:rPr>
        <w:t>ensure</w:t>
      </w:r>
      <w:r w:rsidRPr="1A0CB9F5">
        <w:rPr>
          <w:rFonts w:ascii="Verdana" w:hAnsi="Verdana" w:cs="Verdana"/>
          <w:color w:val="000000" w:themeColor="text1"/>
          <w:lang w:val="en-GB"/>
        </w:rPr>
        <w:t xml:space="preserve"> </w:t>
      </w:r>
      <w:r w:rsidR="00066CE3" w:rsidRPr="1A0CB9F5">
        <w:rPr>
          <w:rFonts w:ascii="Verdana" w:hAnsi="Verdana" w:cs="Verdana"/>
          <w:color w:val="000000" w:themeColor="text1"/>
          <w:lang w:val="en-GB"/>
        </w:rPr>
        <w:t>that:</w:t>
      </w:r>
    </w:p>
    <w:p w14:paraId="267947FD" w14:textId="17E2672E" w:rsidR="1A0CB9F5" w:rsidRDefault="1A0CB9F5" w:rsidP="1A0CB9F5">
      <w:pPr>
        <w:spacing w:after="0" w:line="240" w:lineRule="auto"/>
        <w:rPr>
          <w:rFonts w:ascii="Verdana" w:hAnsi="Verdana" w:cs="Verdana"/>
          <w:color w:val="000000" w:themeColor="text1"/>
          <w:lang w:val="en-GB"/>
        </w:rPr>
      </w:pPr>
    </w:p>
    <w:p w14:paraId="5A020E84"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Learners are registered as soon as they formally start to gather evidence</w:t>
      </w:r>
    </w:p>
    <w:p w14:paraId="1BF3CFB2"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Records of assessment against prior learning are maintained</w:t>
      </w:r>
    </w:p>
    <w:p w14:paraId="7373AF29"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Certification claims are made according to normal procedures</w:t>
      </w:r>
    </w:p>
    <w:p w14:paraId="3813AD62"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All relevant evidence is assessed before assessment decisions are confirmed</w:t>
      </w:r>
    </w:p>
    <w:p w14:paraId="2A8C6724" w14:textId="10D13542" w:rsidR="00066CE3"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1A0CB9F5">
        <w:rPr>
          <w:rFonts w:ascii="Verdana" w:hAnsi="Verdana" w:cs="Verdana"/>
          <w:color w:val="000000" w:themeColor="text1"/>
          <w:lang w:val="en-GB"/>
        </w:rPr>
        <w:t>There are designated personnel with the appropriate expertise to support and</w:t>
      </w:r>
      <w:r w:rsidR="00DE6ECF" w:rsidRPr="1A0CB9F5">
        <w:rPr>
          <w:rFonts w:ascii="Verdana" w:hAnsi="Verdana" w:cs="Verdana"/>
          <w:color w:val="000000" w:themeColor="text1"/>
          <w:lang w:val="en-GB"/>
        </w:rPr>
        <w:t xml:space="preserve"> </w:t>
      </w:r>
      <w:r w:rsidRPr="1A0CB9F5">
        <w:rPr>
          <w:rFonts w:ascii="Verdana" w:hAnsi="Verdana" w:cs="Verdana"/>
          <w:color w:val="000000" w:themeColor="text1"/>
          <w:lang w:val="en-GB"/>
        </w:rPr>
        <w:t>assure the RPL process</w:t>
      </w:r>
    </w:p>
    <w:p w14:paraId="26C5F9FE" w14:textId="0BF58159" w:rsidR="7FABFE18" w:rsidRDefault="7FABFE18" w:rsidP="018415F0">
      <w:pPr>
        <w:pStyle w:val="ListParagraph"/>
        <w:numPr>
          <w:ilvl w:val="0"/>
          <w:numId w:val="30"/>
        </w:numPr>
        <w:spacing w:after="0" w:line="240" w:lineRule="auto"/>
        <w:rPr>
          <w:rFonts w:ascii="Verdana" w:hAnsi="Verdana" w:cs="Verdana"/>
          <w:b/>
          <w:bCs/>
          <w:color w:val="000000" w:themeColor="text1"/>
          <w:highlight w:val="yellow"/>
          <w:lang w:val="en-GB"/>
        </w:rPr>
      </w:pPr>
      <w:r w:rsidRPr="018415F0">
        <w:rPr>
          <w:rFonts w:ascii="Verdana" w:hAnsi="Verdana" w:cs="Verdana"/>
          <w:b/>
          <w:bCs/>
          <w:color w:val="000000" w:themeColor="text1"/>
          <w:highlight w:val="yellow"/>
          <w:lang w:val="en-GB"/>
        </w:rPr>
        <w:t xml:space="preserve">A standing committee is in place to review individually cases of RPL and equivalency </w:t>
      </w:r>
      <w:r w:rsidR="1F58579A" w:rsidRPr="018415F0">
        <w:rPr>
          <w:rFonts w:ascii="Verdana" w:hAnsi="Verdana" w:cs="Verdana"/>
          <w:b/>
          <w:bCs/>
          <w:color w:val="000000" w:themeColor="text1"/>
          <w:highlight w:val="yellow"/>
          <w:lang w:val="en-GB"/>
        </w:rPr>
        <w:t>.</w:t>
      </w:r>
    </w:p>
    <w:p w14:paraId="675D8F17" w14:textId="77777777" w:rsidR="002F32DA" w:rsidRPr="002F32DA" w:rsidRDefault="002F32DA" w:rsidP="018415F0">
      <w:pPr>
        <w:autoSpaceDE w:val="0"/>
        <w:autoSpaceDN w:val="0"/>
        <w:adjustRightInd w:val="0"/>
        <w:spacing w:after="0" w:line="240" w:lineRule="auto"/>
        <w:rPr>
          <w:rFonts w:ascii="Verdana" w:hAnsi="Verdana" w:cs="Verdana"/>
          <w:b/>
          <w:bCs/>
          <w:color w:val="000000"/>
          <w:lang w:val="en-GB"/>
        </w:rPr>
      </w:pPr>
    </w:p>
    <w:p w14:paraId="0B475C58" w14:textId="77777777" w:rsidR="00066CE3" w:rsidRPr="002F32DA" w:rsidRDefault="002F32DA" w:rsidP="00066CE3">
      <w:pPr>
        <w:autoSpaceDE w:val="0"/>
        <w:autoSpaceDN w:val="0"/>
        <w:adjustRightInd w:val="0"/>
        <w:spacing w:after="0" w:line="240" w:lineRule="auto"/>
        <w:rPr>
          <w:rFonts w:ascii="Arial" w:hAnsi="Arial" w:cs="Arial"/>
          <w:b/>
          <w:bCs/>
          <w:color w:val="000000"/>
          <w:sz w:val="23"/>
          <w:szCs w:val="23"/>
          <w:lang w:val="en-GB"/>
        </w:rPr>
      </w:pPr>
      <w:r>
        <w:rPr>
          <w:rFonts w:ascii="Arial" w:hAnsi="Arial" w:cs="Arial"/>
          <w:b/>
          <w:bCs/>
          <w:color w:val="000000"/>
          <w:sz w:val="23"/>
          <w:szCs w:val="23"/>
          <w:lang w:val="en-GB"/>
        </w:rPr>
        <w:t xml:space="preserve">6. </w:t>
      </w:r>
      <w:r w:rsidR="00066CE3" w:rsidRPr="002F32DA">
        <w:rPr>
          <w:rFonts w:ascii="Arial" w:hAnsi="Arial" w:cs="Arial"/>
          <w:b/>
          <w:bCs/>
          <w:color w:val="000000"/>
          <w:sz w:val="23"/>
          <w:szCs w:val="23"/>
          <w:lang w:val="en-GB"/>
        </w:rPr>
        <w:t>The RPL process</w:t>
      </w:r>
    </w:p>
    <w:p w14:paraId="4BAE6087" w14:textId="77777777" w:rsidR="00066CE3" w:rsidRPr="00066CE3" w:rsidRDefault="002F32DA" w:rsidP="00EB6B6F">
      <w:pPr>
        <w:autoSpaceDE w:val="0"/>
        <w:autoSpaceDN w:val="0"/>
        <w:adjustRightInd w:val="0"/>
        <w:spacing w:after="0" w:line="240" w:lineRule="auto"/>
        <w:rPr>
          <w:rFonts w:ascii="Verdana" w:hAnsi="Verdana" w:cs="Verdana"/>
          <w:color w:val="000000"/>
          <w:lang w:val="en-GB"/>
        </w:rPr>
      </w:pPr>
      <w:r>
        <w:rPr>
          <w:rFonts w:ascii="Verdana" w:hAnsi="Verdana" w:cs="Verdana"/>
          <w:color w:val="000000"/>
          <w:lang w:val="en-GB"/>
        </w:rPr>
        <w:t xml:space="preserve">The following process will outline </w:t>
      </w:r>
      <w:r w:rsidR="00EB6B6F">
        <w:rPr>
          <w:rFonts w:ascii="Verdana" w:hAnsi="Verdana" w:cs="Verdana"/>
          <w:color w:val="000000"/>
          <w:lang w:val="en-GB"/>
        </w:rPr>
        <w:t xml:space="preserve"> the RPL policy including common steps and proper actions: </w:t>
      </w:r>
    </w:p>
    <w:p w14:paraId="7BB9FC99" w14:textId="77777777"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14:paraId="291C6674"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6.1 </w:t>
      </w:r>
      <w:r w:rsidR="00066CE3" w:rsidRPr="00EB6B6F">
        <w:rPr>
          <w:rFonts w:ascii="Arial" w:hAnsi="Arial" w:cs="Arial"/>
          <w:b/>
          <w:bCs/>
          <w:color w:val="000000"/>
          <w:sz w:val="23"/>
          <w:szCs w:val="23"/>
          <w:lang w:val="en-GB"/>
        </w:rPr>
        <w:t>Stage 1 – Awareness, information and guidance</w:t>
      </w:r>
    </w:p>
    <w:p w14:paraId="41934722"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Ahead of enrolling a potential learner, the possi</w:t>
      </w:r>
      <w:r w:rsidR="00EB6B6F">
        <w:rPr>
          <w:rFonts w:ascii="Verdana" w:hAnsi="Verdana" w:cs="Verdana"/>
          <w:color w:val="000000"/>
          <w:lang w:val="en-GB"/>
        </w:rPr>
        <w:t xml:space="preserve">bility that they may be able to </w:t>
      </w:r>
      <w:r w:rsidRPr="00066CE3">
        <w:rPr>
          <w:rFonts w:ascii="Verdana" w:hAnsi="Verdana" w:cs="Verdana"/>
          <w:color w:val="000000"/>
          <w:lang w:val="en-GB"/>
        </w:rPr>
        <w:t>claim credit for some of their previous learning should be raised with them. If</w:t>
      </w:r>
      <w:r w:rsidR="00EB6B6F">
        <w:rPr>
          <w:rFonts w:ascii="Verdana" w:hAnsi="Verdana" w:cs="Verdana"/>
          <w:color w:val="000000"/>
          <w:lang w:val="en-GB"/>
        </w:rPr>
        <w:t xml:space="preserve"> </w:t>
      </w:r>
      <w:r w:rsidRPr="00066CE3">
        <w:rPr>
          <w:rFonts w:ascii="Verdana" w:hAnsi="Verdana" w:cs="Verdana"/>
          <w:color w:val="000000"/>
          <w:lang w:val="en-GB"/>
        </w:rPr>
        <w:t>the learner is interested in this, they will need to know the:</w:t>
      </w:r>
    </w:p>
    <w:p w14:paraId="4A1CB8C5" w14:textId="77777777" w:rsidR="00EB6B6F" w:rsidRPr="00066CE3" w:rsidRDefault="00EB6B6F" w:rsidP="00EB6B6F">
      <w:pPr>
        <w:autoSpaceDE w:val="0"/>
        <w:autoSpaceDN w:val="0"/>
        <w:adjustRightInd w:val="0"/>
        <w:spacing w:after="0" w:line="240" w:lineRule="auto"/>
        <w:rPr>
          <w:rFonts w:ascii="Verdana" w:hAnsi="Verdana" w:cs="Verdana"/>
          <w:color w:val="000000"/>
          <w:lang w:val="en-GB"/>
        </w:rPr>
      </w:pPr>
    </w:p>
    <w:p w14:paraId="4AE93A1A"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Process of claiming achievement by using RPL</w:t>
      </w:r>
    </w:p>
    <w:p w14:paraId="7066DDCB"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Sources of support and guidance available to them</w:t>
      </w:r>
    </w:p>
    <w:p w14:paraId="3557B998"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Timelines, appeals processes and any fees involved</w:t>
      </w:r>
    </w:p>
    <w:p w14:paraId="0177D803" w14:textId="77777777" w:rsidR="00EB6B6F" w:rsidRDefault="00EB6B6F" w:rsidP="00066CE3">
      <w:pPr>
        <w:autoSpaceDE w:val="0"/>
        <w:autoSpaceDN w:val="0"/>
        <w:adjustRightInd w:val="0"/>
        <w:spacing w:after="0" w:line="240" w:lineRule="auto"/>
        <w:rPr>
          <w:rFonts w:ascii="Verdana" w:hAnsi="Verdana" w:cs="Verdana"/>
          <w:b/>
          <w:bCs/>
          <w:color w:val="000000"/>
          <w:sz w:val="23"/>
          <w:szCs w:val="23"/>
          <w:lang w:val="en-GB"/>
        </w:rPr>
      </w:pPr>
    </w:p>
    <w:p w14:paraId="1DA0A41A" w14:textId="11F8F2CE" w:rsidR="1A0CB9F5" w:rsidRDefault="1A0CB9F5" w:rsidP="1A0CB9F5">
      <w:pPr>
        <w:spacing w:after="0" w:line="240" w:lineRule="auto"/>
        <w:rPr>
          <w:rFonts w:ascii="Arial" w:hAnsi="Arial" w:cs="Arial"/>
          <w:b/>
          <w:bCs/>
          <w:color w:val="000000" w:themeColor="text1"/>
          <w:sz w:val="23"/>
          <w:szCs w:val="23"/>
          <w:lang w:val="en-GB"/>
        </w:rPr>
      </w:pPr>
    </w:p>
    <w:p w14:paraId="67C5A20B" w14:textId="1C0A526E" w:rsidR="1A0CB9F5" w:rsidRDefault="1A0CB9F5" w:rsidP="1A0CB9F5">
      <w:pPr>
        <w:spacing w:after="0" w:line="240" w:lineRule="auto"/>
        <w:rPr>
          <w:rFonts w:ascii="Arial" w:hAnsi="Arial" w:cs="Arial"/>
          <w:b/>
          <w:bCs/>
          <w:color w:val="000000" w:themeColor="text1"/>
          <w:sz w:val="23"/>
          <w:szCs w:val="23"/>
          <w:lang w:val="en-GB"/>
        </w:rPr>
      </w:pPr>
    </w:p>
    <w:p w14:paraId="5B41DFE6" w14:textId="1525595B" w:rsidR="1A0CB9F5" w:rsidRDefault="1A0CB9F5" w:rsidP="1A0CB9F5">
      <w:pPr>
        <w:spacing w:after="0" w:line="240" w:lineRule="auto"/>
        <w:rPr>
          <w:rFonts w:ascii="Arial" w:hAnsi="Arial" w:cs="Arial"/>
          <w:b/>
          <w:bCs/>
          <w:color w:val="000000" w:themeColor="text1"/>
          <w:sz w:val="23"/>
          <w:szCs w:val="23"/>
          <w:lang w:val="en-GB"/>
        </w:rPr>
      </w:pPr>
    </w:p>
    <w:p w14:paraId="746162BD" w14:textId="56E9CA1F" w:rsidR="1A0CB9F5" w:rsidRDefault="1A0CB9F5" w:rsidP="1A0CB9F5">
      <w:pPr>
        <w:spacing w:after="0" w:line="240" w:lineRule="auto"/>
        <w:rPr>
          <w:rFonts w:ascii="Arial" w:hAnsi="Arial" w:cs="Arial"/>
          <w:b/>
          <w:bCs/>
          <w:color w:val="000000" w:themeColor="text1"/>
          <w:sz w:val="23"/>
          <w:szCs w:val="23"/>
          <w:lang w:val="en-GB"/>
        </w:rPr>
      </w:pPr>
    </w:p>
    <w:p w14:paraId="6DA68BC2" w14:textId="77777777" w:rsidR="00066CE3" w:rsidRPr="00EB6B6F" w:rsidRDefault="00EB6B6F" w:rsidP="00EB6B6F">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6.2 </w:t>
      </w:r>
      <w:r w:rsidR="00066CE3" w:rsidRPr="00EB6B6F">
        <w:rPr>
          <w:rFonts w:ascii="Arial" w:hAnsi="Arial" w:cs="Arial"/>
          <w:b/>
          <w:bCs/>
          <w:color w:val="000000"/>
          <w:sz w:val="23"/>
          <w:szCs w:val="23"/>
          <w:lang w:val="en-GB"/>
        </w:rPr>
        <w:t>Stage 2 – Pre-assessment; gathering evidence and giving</w:t>
      </w:r>
      <w:r>
        <w:rPr>
          <w:rFonts w:ascii="Arial" w:hAnsi="Arial" w:cs="Arial"/>
          <w:b/>
          <w:bCs/>
          <w:color w:val="000000"/>
          <w:sz w:val="23"/>
          <w:szCs w:val="23"/>
          <w:lang w:val="en-GB"/>
        </w:rPr>
        <w:t xml:space="preserve"> </w:t>
      </w:r>
      <w:r w:rsidR="00066CE3" w:rsidRPr="00EB6B6F">
        <w:rPr>
          <w:rFonts w:ascii="Arial" w:hAnsi="Arial" w:cs="Arial"/>
          <w:b/>
          <w:bCs/>
          <w:color w:val="000000"/>
          <w:sz w:val="23"/>
          <w:szCs w:val="23"/>
          <w:lang w:val="en-GB"/>
        </w:rPr>
        <w:t>information.</w:t>
      </w:r>
    </w:p>
    <w:p w14:paraId="294C72D0" w14:textId="77777777" w:rsidR="00EB6B6F" w:rsidRDefault="00EB6B6F" w:rsidP="00066CE3">
      <w:pPr>
        <w:autoSpaceDE w:val="0"/>
        <w:autoSpaceDN w:val="0"/>
        <w:adjustRightInd w:val="0"/>
        <w:spacing w:after="0" w:line="240" w:lineRule="auto"/>
        <w:rPr>
          <w:rFonts w:ascii="Verdana" w:hAnsi="Verdana" w:cs="Verdana"/>
          <w:color w:val="000000"/>
          <w:lang w:val="en-GB"/>
        </w:rPr>
      </w:pPr>
    </w:p>
    <w:p w14:paraId="74DD52C7"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At this stage the learner will carry out the process of collecting evidence against</w:t>
      </w:r>
      <w:r w:rsidR="00EB6B6F">
        <w:rPr>
          <w:rFonts w:ascii="Verdana" w:hAnsi="Verdana" w:cs="Verdana"/>
          <w:color w:val="000000"/>
          <w:lang w:val="en-GB"/>
        </w:rPr>
        <w:t xml:space="preserve"> </w:t>
      </w:r>
      <w:r w:rsidRPr="00066CE3">
        <w:rPr>
          <w:rFonts w:ascii="Verdana" w:hAnsi="Verdana" w:cs="Verdana"/>
          <w:color w:val="000000"/>
          <w:lang w:val="en-GB"/>
        </w:rPr>
        <w:t>the requirements of the relevant unit(s). In some cases the development of an</w:t>
      </w:r>
      <w:r w:rsidR="00EB6B6F">
        <w:rPr>
          <w:rFonts w:ascii="Verdana" w:hAnsi="Verdana" w:cs="Verdana"/>
          <w:color w:val="000000"/>
          <w:lang w:val="en-GB"/>
        </w:rPr>
        <w:t xml:space="preserve"> </w:t>
      </w:r>
      <w:r w:rsidRPr="00066CE3">
        <w:rPr>
          <w:rFonts w:ascii="Verdana" w:hAnsi="Verdana" w:cs="Verdana"/>
          <w:color w:val="000000"/>
          <w:lang w:val="en-GB"/>
        </w:rPr>
        <w:t>assessment plan and tracking document or similar may be required, to support</w:t>
      </w:r>
      <w:r w:rsidR="00EB6B6F">
        <w:rPr>
          <w:rFonts w:ascii="Verdana" w:hAnsi="Verdana" w:cs="Verdana"/>
          <w:color w:val="000000"/>
          <w:lang w:val="en-GB"/>
        </w:rPr>
        <w:t xml:space="preserve"> </w:t>
      </w:r>
      <w:r w:rsidRPr="00066CE3">
        <w:rPr>
          <w:rFonts w:ascii="Verdana" w:hAnsi="Verdana" w:cs="Verdana"/>
          <w:color w:val="000000"/>
          <w:lang w:val="en-GB"/>
        </w:rPr>
        <w:t>the learner through the process. The evidence gathered will need to meet the</w:t>
      </w:r>
      <w:r w:rsidR="00EB6B6F">
        <w:rPr>
          <w:rFonts w:ascii="Verdana" w:hAnsi="Verdana" w:cs="Verdana"/>
          <w:color w:val="000000"/>
          <w:lang w:val="en-GB"/>
        </w:rPr>
        <w:t xml:space="preserve"> </w:t>
      </w:r>
      <w:r w:rsidRPr="00066CE3">
        <w:rPr>
          <w:rFonts w:ascii="Verdana" w:hAnsi="Verdana" w:cs="Verdana"/>
          <w:color w:val="000000"/>
          <w:lang w:val="en-GB"/>
        </w:rPr>
        <w:t>standards of the unit, or part of unit, that the evidence is being used for.</w:t>
      </w:r>
    </w:p>
    <w:p w14:paraId="69BD857D" w14:textId="77777777" w:rsidR="00EB6B6F" w:rsidRPr="00066CE3" w:rsidRDefault="00EB6B6F" w:rsidP="00EB6B6F">
      <w:pPr>
        <w:autoSpaceDE w:val="0"/>
        <w:autoSpaceDN w:val="0"/>
        <w:adjustRightInd w:val="0"/>
        <w:spacing w:after="0" w:line="240" w:lineRule="auto"/>
        <w:rPr>
          <w:rFonts w:ascii="Verdana" w:hAnsi="Verdana" w:cs="Verdana"/>
          <w:color w:val="000000"/>
          <w:lang w:val="en-GB"/>
        </w:rPr>
      </w:pPr>
    </w:p>
    <w:p w14:paraId="26B70D83"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18415F0">
        <w:rPr>
          <w:rFonts w:ascii="Arial" w:hAnsi="Arial" w:cs="Arial"/>
          <w:b/>
          <w:bCs/>
          <w:color w:val="000000" w:themeColor="text1"/>
          <w:sz w:val="23"/>
          <w:szCs w:val="23"/>
          <w:lang w:val="en-GB"/>
        </w:rPr>
        <w:t xml:space="preserve">6.3 </w:t>
      </w:r>
      <w:r w:rsidR="00066CE3" w:rsidRPr="018415F0">
        <w:rPr>
          <w:rFonts w:ascii="Arial" w:hAnsi="Arial" w:cs="Arial"/>
          <w:b/>
          <w:bCs/>
          <w:color w:val="000000" w:themeColor="text1"/>
          <w:sz w:val="23"/>
          <w:szCs w:val="23"/>
          <w:lang w:val="en-GB"/>
        </w:rPr>
        <w:t>Stage 3 – Assessment/documentation of evidence</w:t>
      </w:r>
    </w:p>
    <w:p w14:paraId="5645FB86" w14:textId="5CF8B5C6" w:rsidR="018415F0" w:rsidRDefault="018415F0" w:rsidP="018415F0">
      <w:pPr>
        <w:spacing w:after="0" w:line="240" w:lineRule="auto"/>
        <w:rPr>
          <w:rFonts w:ascii="Arial" w:hAnsi="Arial" w:cs="Arial"/>
          <w:b/>
          <w:bCs/>
          <w:color w:val="000000" w:themeColor="text1"/>
          <w:sz w:val="23"/>
          <w:szCs w:val="23"/>
          <w:lang w:val="en-GB"/>
        </w:rPr>
      </w:pPr>
    </w:p>
    <w:p w14:paraId="578E3327" w14:textId="77777777" w:rsidR="00EB6B6F"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lastRenderedPageBreak/>
        <w:t>Assessment as part of RPL is a structured process for gathering and reviewing</w:t>
      </w:r>
      <w:r w:rsidR="00EB6B6F">
        <w:rPr>
          <w:rFonts w:ascii="Verdana" w:hAnsi="Verdana" w:cs="Verdana"/>
          <w:color w:val="000000"/>
          <w:lang w:val="en-GB"/>
        </w:rPr>
        <w:t xml:space="preserve"> </w:t>
      </w:r>
      <w:r w:rsidRPr="00066CE3">
        <w:rPr>
          <w:rFonts w:ascii="Verdana" w:hAnsi="Verdana" w:cs="Verdana"/>
          <w:color w:val="000000"/>
          <w:lang w:val="en-GB"/>
        </w:rPr>
        <w:t>evidence and making judgments about a learners’ prior leaning and experience in</w:t>
      </w:r>
      <w:r w:rsidR="00EB6B6F">
        <w:rPr>
          <w:rFonts w:ascii="Verdana" w:hAnsi="Verdana" w:cs="Verdana"/>
          <w:color w:val="000000"/>
          <w:lang w:val="en-GB"/>
        </w:rPr>
        <w:t xml:space="preserve"> </w:t>
      </w:r>
      <w:r w:rsidRPr="00066CE3">
        <w:rPr>
          <w:rFonts w:ascii="Verdana" w:hAnsi="Verdana" w:cs="Verdana"/>
          <w:color w:val="000000"/>
          <w:lang w:val="en-GB"/>
        </w:rPr>
        <w:t>relation to unit standards. The assessor may be looking at work experience</w:t>
      </w:r>
      <w:r w:rsidR="00EB6B6F">
        <w:rPr>
          <w:rFonts w:ascii="Verdana" w:hAnsi="Verdana" w:cs="Verdana"/>
          <w:color w:val="000000"/>
          <w:lang w:val="en-GB"/>
        </w:rPr>
        <w:t xml:space="preserve"> </w:t>
      </w:r>
      <w:r w:rsidRPr="00066CE3">
        <w:rPr>
          <w:rFonts w:ascii="Verdana" w:hAnsi="Verdana" w:cs="Verdana"/>
          <w:color w:val="000000"/>
          <w:lang w:val="en-GB"/>
        </w:rPr>
        <w:t>records, validated by managers; previous portfolios of evidence put together by</w:t>
      </w:r>
      <w:r w:rsidR="00EB6B6F">
        <w:rPr>
          <w:rFonts w:ascii="Verdana" w:hAnsi="Verdana" w:cs="Verdana"/>
          <w:color w:val="000000"/>
          <w:lang w:val="en-GB"/>
        </w:rPr>
        <w:t xml:space="preserve"> </w:t>
      </w:r>
      <w:r w:rsidRPr="00066CE3">
        <w:rPr>
          <w:rFonts w:ascii="Verdana" w:hAnsi="Verdana" w:cs="Verdana"/>
          <w:color w:val="000000"/>
          <w:lang w:val="en-GB"/>
        </w:rPr>
        <w:t>the learner or essays and reports validated as being the learner’s own unaided</w:t>
      </w:r>
      <w:r w:rsidR="00EB6B6F">
        <w:rPr>
          <w:rFonts w:ascii="Verdana" w:hAnsi="Verdana" w:cs="Verdana"/>
          <w:color w:val="000000"/>
          <w:lang w:val="en-GB"/>
        </w:rPr>
        <w:t xml:space="preserve"> work.</w:t>
      </w:r>
    </w:p>
    <w:p w14:paraId="054D53D6" w14:textId="77777777" w:rsidR="00EB6B6F" w:rsidRDefault="00EB6B6F" w:rsidP="00EB6B6F">
      <w:pPr>
        <w:autoSpaceDE w:val="0"/>
        <w:autoSpaceDN w:val="0"/>
        <w:adjustRightInd w:val="0"/>
        <w:spacing w:after="0" w:line="240" w:lineRule="auto"/>
        <w:rPr>
          <w:rFonts w:ascii="Verdana" w:hAnsi="Verdana" w:cs="Verdana"/>
          <w:color w:val="000000"/>
          <w:lang w:val="en-GB"/>
        </w:rPr>
      </w:pPr>
    </w:p>
    <w:p w14:paraId="0295E51B"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Assessment must be valid and reliable to en</w:t>
      </w:r>
      <w:r w:rsidR="00EB6B6F">
        <w:rPr>
          <w:rFonts w:ascii="Verdana" w:hAnsi="Verdana" w:cs="Verdana"/>
          <w:color w:val="000000"/>
          <w:lang w:val="en-GB"/>
        </w:rPr>
        <w:t xml:space="preserve">sure the integrity of the award </w:t>
      </w:r>
      <w:r w:rsidRPr="00066CE3">
        <w:rPr>
          <w:rFonts w:ascii="Verdana" w:hAnsi="Verdana" w:cs="Verdana"/>
          <w:color w:val="000000"/>
          <w:lang w:val="en-GB"/>
        </w:rPr>
        <w:t>of credit and, as above, the evidence gathered needs to meet the standards of the</w:t>
      </w:r>
      <w:r w:rsidR="00EB6B6F">
        <w:rPr>
          <w:rFonts w:ascii="Verdana" w:hAnsi="Verdana" w:cs="Verdana"/>
          <w:color w:val="000000"/>
          <w:lang w:val="en-GB"/>
        </w:rPr>
        <w:t xml:space="preserve"> </w:t>
      </w:r>
      <w:r w:rsidRPr="00066CE3">
        <w:rPr>
          <w:rFonts w:ascii="Verdana" w:hAnsi="Verdana" w:cs="Verdana"/>
          <w:color w:val="000000"/>
          <w:lang w:val="en-GB"/>
        </w:rPr>
        <w:t>unit, or part of unit, that the evidence is being used for. The assessment process</w:t>
      </w:r>
      <w:r w:rsidR="00EB6B6F">
        <w:rPr>
          <w:rFonts w:ascii="Verdana" w:hAnsi="Verdana" w:cs="Verdana"/>
          <w:color w:val="000000"/>
          <w:lang w:val="en-GB"/>
        </w:rPr>
        <w:t xml:space="preserve"> is</w:t>
      </w:r>
      <w:r w:rsidRPr="00066CE3">
        <w:rPr>
          <w:rFonts w:ascii="Verdana" w:hAnsi="Verdana" w:cs="Verdana"/>
          <w:color w:val="000000"/>
          <w:lang w:val="en-GB"/>
        </w:rPr>
        <w:t xml:space="preserve"> subject to the usual quality assurance procedures of </w:t>
      </w:r>
      <w:r w:rsidR="00EB6B6F">
        <w:rPr>
          <w:rFonts w:ascii="Verdana" w:hAnsi="Verdana" w:cs="Verdana"/>
          <w:color w:val="000000"/>
          <w:lang w:val="en-GB"/>
        </w:rPr>
        <w:t>HTU</w:t>
      </w:r>
      <w:r w:rsidRPr="00066CE3">
        <w:rPr>
          <w:rFonts w:ascii="Verdana" w:hAnsi="Verdana" w:cs="Verdana"/>
          <w:color w:val="000000"/>
          <w:lang w:val="en-GB"/>
        </w:rPr>
        <w:t>,</w:t>
      </w:r>
      <w:r w:rsidR="00EB6B6F">
        <w:rPr>
          <w:rFonts w:ascii="Verdana" w:hAnsi="Verdana" w:cs="Verdana"/>
          <w:color w:val="000000"/>
          <w:lang w:val="en-GB"/>
        </w:rPr>
        <w:t xml:space="preserve"> </w:t>
      </w:r>
      <w:r w:rsidRPr="00066CE3">
        <w:rPr>
          <w:rFonts w:ascii="Verdana" w:hAnsi="Verdana" w:cs="Verdana"/>
          <w:color w:val="000000"/>
          <w:lang w:val="en-GB"/>
        </w:rPr>
        <w:t>for example internal standardisation and internal verification as well as Pearson’s</w:t>
      </w:r>
      <w:r w:rsidR="00EB6B6F">
        <w:rPr>
          <w:rFonts w:ascii="Verdana" w:hAnsi="Verdana" w:cs="Verdana"/>
          <w:color w:val="000000"/>
          <w:lang w:val="en-GB"/>
        </w:rPr>
        <w:t xml:space="preserve"> </w:t>
      </w:r>
      <w:r w:rsidRPr="00066CE3">
        <w:rPr>
          <w:rFonts w:ascii="Verdana" w:hAnsi="Verdana" w:cs="Verdana"/>
          <w:color w:val="000000"/>
          <w:lang w:val="en-GB"/>
        </w:rPr>
        <w:t>quality assurance procedures. Evidenced gathered through RPL should be clearly</w:t>
      </w:r>
      <w:r w:rsidR="00EB6B6F">
        <w:rPr>
          <w:rFonts w:ascii="Verdana" w:hAnsi="Verdana" w:cs="Verdana"/>
          <w:color w:val="000000"/>
          <w:lang w:val="en-GB"/>
        </w:rPr>
        <w:t xml:space="preserve"> will be </w:t>
      </w:r>
      <w:r w:rsidRPr="00066CE3">
        <w:rPr>
          <w:rFonts w:ascii="Verdana" w:hAnsi="Verdana" w:cs="Verdana"/>
          <w:color w:val="000000"/>
          <w:lang w:val="en-GB"/>
        </w:rPr>
        <w:t>referenced and sign posted to aid internal assessment and internal and external</w:t>
      </w:r>
      <w:r w:rsidR="00EB6B6F">
        <w:rPr>
          <w:rFonts w:ascii="Verdana" w:hAnsi="Verdana" w:cs="Verdana"/>
          <w:color w:val="000000"/>
          <w:lang w:val="en-GB"/>
        </w:rPr>
        <w:t xml:space="preserve"> examination</w:t>
      </w:r>
      <w:r w:rsidRPr="00066CE3">
        <w:rPr>
          <w:rFonts w:ascii="Verdana" w:hAnsi="Verdana" w:cs="Verdana"/>
          <w:color w:val="000000"/>
          <w:lang w:val="en-GB"/>
        </w:rPr>
        <w:t>.</w:t>
      </w:r>
    </w:p>
    <w:p w14:paraId="4B82DE4D" w14:textId="77777777"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14:paraId="7697113B" w14:textId="77777777" w:rsidR="00066CE3" w:rsidRPr="00066CE3" w:rsidRDefault="00EB6B6F" w:rsidP="00066CE3">
      <w:pPr>
        <w:autoSpaceDE w:val="0"/>
        <w:autoSpaceDN w:val="0"/>
        <w:adjustRightInd w:val="0"/>
        <w:spacing w:after="0" w:line="240" w:lineRule="auto"/>
        <w:rPr>
          <w:rFonts w:ascii="Verdana" w:hAnsi="Verdana" w:cs="Verdana"/>
          <w:b/>
          <w:bCs/>
          <w:color w:val="000000"/>
          <w:sz w:val="23"/>
          <w:szCs w:val="23"/>
          <w:lang w:val="en-GB"/>
        </w:rPr>
      </w:pPr>
      <w:r>
        <w:rPr>
          <w:rFonts w:ascii="Arial" w:hAnsi="Arial" w:cs="Arial"/>
          <w:b/>
          <w:bCs/>
          <w:color w:val="000000"/>
          <w:sz w:val="23"/>
          <w:szCs w:val="23"/>
          <w:lang w:val="en-GB"/>
        </w:rPr>
        <w:t xml:space="preserve">6.4 </w:t>
      </w:r>
      <w:r w:rsidR="00066CE3" w:rsidRPr="00EB6B6F">
        <w:rPr>
          <w:rFonts w:ascii="Arial" w:hAnsi="Arial" w:cs="Arial"/>
          <w:b/>
          <w:bCs/>
          <w:color w:val="000000"/>
          <w:sz w:val="23"/>
          <w:szCs w:val="23"/>
          <w:lang w:val="en-GB"/>
        </w:rPr>
        <w:t>Stage 4 – Claiming certification</w:t>
      </w:r>
    </w:p>
    <w:p w14:paraId="1C7CEC70"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Once the internal and external quality assurance procedures have been</w:t>
      </w:r>
      <w:r w:rsidR="00EB6B6F">
        <w:rPr>
          <w:rFonts w:ascii="Verdana" w:hAnsi="Verdana" w:cs="Verdana"/>
          <w:color w:val="000000"/>
          <w:lang w:val="en-GB"/>
        </w:rPr>
        <w:t xml:space="preserve"> </w:t>
      </w:r>
      <w:r w:rsidRPr="00066CE3">
        <w:rPr>
          <w:rFonts w:ascii="Verdana" w:hAnsi="Verdana" w:cs="Verdana"/>
          <w:color w:val="000000"/>
          <w:lang w:val="en-GB"/>
        </w:rPr>
        <w:t xml:space="preserve">successfully completed, certification claims can be made by </w:t>
      </w:r>
      <w:r w:rsidR="00EB6B6F">
        <w:rPr>
          <w:rFonts w:ascii="Verdana" w:hAnsi="Verdana" w:cs="Verdana"/>
          <w:color w:val="000000"/>
          <w:lang w:val="en-GB"/>
        </w:rPr>
        <w:t>HTU</w:t>
      </w:r>
      <w:r w:rsidRPr="00066CE3">
        <w:rPr>
          <w:rFonts w:ascii="Verdana" w:hAnsi="Verdana" w:cs="Verdana"/>
          <w:color w:val="000000"/>
          <w:lang w:val="en-GB"/>
        </w:rPr>
        <w:t>. Assessment and internal verification records, along with any</w:t>
      </w:r>
      <w:r w:rsidR="00EB6B6F">
        <w:rPr>
          <w:rFonts w:ascii="Verdana" w:hAnsi="Verdana" w:cs="Verdana"/>
          <w:color w:val="000000"/>
          <w:lang w:val="en-GB"/>
        </w:rPr>
        <w:t xml:space="preserve"> </w:t>
      </w:r>
      <w:r w:rsidRPr="00066CE3">
        <w:rPr>
          <w:rFonts w:ascii="Verdana" w:hAnsi="Verdana" w:cs="Verdana"/>
          <w:color w:val="000000"/>
          <w:lang w:val="en-GB"/>
        </w:rPr>
        <w:t>additional RPL records completed, should be retained for the standard three</w:t>
      </w:r>
      <w:r w:rsidR="00EB6B6F">
        <w:rPr>
          <w:rFonts w:ascii="Verdana" w:hAnsi="Verdana" w:cs="Verdana"/>
          <w:color w:val="000000"/>
          <w:lang w:val="en-GB"/>
        </w:rPr>
        <w:t xml:space="preserve"> </w:t>
      </w:r>
      <w:r w:rsidRPr="00066CE3">
        <w:rPr>
          <w:rFonts w:ascii="Verdana" w:hAnsi="Verdana" w:cs="Verdana"/>
          <w:color w:val="000000"/>
          <w:lang w:val="en-GB"/>
        </w:rPr>
        <w:t>year period following certification.</w:t>
      </w:r>
    </w:p>
    <w:p w14:paraId="7F873CA8" w14:textId="77777777" w:rsidR="00EB6B6F" w:rsidRDefault="00EB6B6F" w:rsidP="00066CE3">
      <w:pPr>
        <w:autoSpaceDE w:val="0"/>
        <w:autoSpaceDN w:val="0"/>
        <w:adjustRightInd w:val="0"/>
        <w:spacing w:after="0" w:line="240" w:lineRule="auto"/>
        <w:rPr>
          <w:rFonts w:ascii="Verdana" w:hAnsi="Verdana" w:cs="Verdana"/>
          <w:color w:val="000000"/>
          <w:lang w:val="en-GB"/>
        </w:rPr>
      </w:pPr>
    </w:p>
    <w:p w14:paraId="022EED2D"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assessor must ensure that all learning o</w:t>
      </w:r>
      <w:r w:rsidR="00EB6B6F">
        <w:rPr>
          <w:rFonts w:ascii="Verdana" w:hAnsi="Verdana" w:cs="Verdana"/>
          <w:color w:val="000000"/>
          <w:lang w:val="en-GB"/>
        </w:rPr>
        <w:t xml:space="preserve">utcomes and assessment criteria </w:t>
      </w:r>
      <w:r w:rsidRPr="00066CE3">
        <w:rPr>
          <w:rFonts w:ascii="Verdana" w:hAnsi="Verdana" w:cs="Verdana"/>
          <w:color w:val="000000"/>
          <w:lang w:val="en-GB"/>
        </w:rPr>
        <w:t>being claimed for each unit are achieved and</w:t>
      </w:r>
      <w:r w:rsidR="00EB6B6F">
        <w:rPr>
          <w:rFonts w:ascii="Verdana" w:hAnsi="Verdana" w:cs="Verdana"/>
          <w:color w:val="000000"/>
          <w:lang w:val="en-GB"/>
        </w:rPr>
        <w:t xml:space="preserve"> that the records of assessment </w:t>
      </w:r>
      <w:r w:rsidR="00EC75D5">
        <w:rPr>
          <w:rFonts w:ascii="Verdana" w:hAnsi="Verdana" w:cs="Verdana"/>
          <w:color w:val="000000"/>
          <w:lang w:val="en-GB"/>
        </w:rPr>
        <w:t xml:space="preserve">are </w:t>
      </w:r>
      <w:r w:rsidR="000C757C">
        <w:rPr>
          <w:rFonts w:ascii="Verdana" w:hAnsi="Verdana" w:cs="Verdana"/>
          <w:color w:val="000000"/>
          <w:lang w:val="en-GB"/>
        </w:rPr>
        <w:t>a</w:t>
      </w:r>
      <w:r w:rsidR="000C757C" w:rsidRPr="00066CE3">
        <w:rPr>
          <w:rFonts w:ascii="Verdana" w:hAnsi="Verdana" w:cs="Verdana"/>
          <w:color w:val="000000"/>
          <w:lang w:val="en-GB"/>
        </w:rPr>
        <w:t>ttained</w:t>
      </w:r>
      <w:r w:rsidRPr="00066CE3">
        <w:rPr>
          <w:rFonts w:ascii="Verdana" w:hAnsi="Verdana" w:cs="Verdana"/>
          <w:color w:val="000000"/>
          <w:lang w:val="en-GB"/>
        </w:rPr>
        <w:t xml:space="preserve"> in the usual way.</w:t>
      </w:r>
    </w:p>
    <w:p w14:paraId="5D4D7970" w14:textId="77777777" w:rsidR="00EB6B6F" w:rsidRPr="00066CE3" w:rsidRDefault="00EB6B6F" w:rsidP="00066CE3">
      <w:pPr>
        <w:autoSpaceDE w:val="0"/>
        <w:autoSpaceDN w:val="0"/>
        <w:adjustRightInd w:val="0"/>
        <w:spacing w:after="0" w:line="240" w:lineRule="auto"/>
        <w:rPr>
          <w:rFonts w:ascii="Verdana" w:hAnsi="Verdana" w:cs="Verdana"/>
          <w:color w:val="000000"/>
          <w:lang w:val="en-GB"/>
        </w:rPr>
      </w:pPr>
    </w:p>
    <w:p w14:paraId="0038B056"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6.5 </w:t>
      </w:r>
      <w:r w:rsidR="00066CE3" w:rsidRPr="00EB6B6F">
        <w:rPr>
          <w:rFonts w:ascii="Arial" w:hAnsi="Arial" w:cs="Arial"/>
          <w:b/>
          <w:bCs/>
          <w:color w:val="000000"/>
          <w:sz w:val="23"/>
          <w:szCs w:val="23"/>
          <w:lang w:val="en-GB"/>
        </w:rPr>
        <w:t>Stage 5 – Appeal</w:t>
      </w:r>
    </w:p>
    <w:p w14:paraId="19D173EA"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 with any assessment decision, if a learner wish</w:t>
      </w:r>
      <w:r w:rsidR="00EB6B6F">
        <w:rPr>
          <w:rFonts w:ascii="Verdana" w:hAnsi="Verdana" w:cs="Verdana"/>
          <w:color w:val="000000"/>
          <w:lang w:val="en-GB"/>
        </w:rPr>
        <w:t xml:space="preserve">es to appeal against a decision </w:t>
      </w:r>
      <w:r w:rsidRPr="00066CE3">
        <w:rPr>
          <w:rFonts w:ascii="Verdana" w:hAnsi="Verdana" w:cs="Verdana"/>
          <w:color w:val="000000"/>
          <w:lang w:val="en-GB"/>
        </w:rPr>
        <w:t xml:space="preserve">made about their assessment they need to follow the </w:t>
      </w:r>
      <w:r w:rsidR="00EB6B6F">
        <w:rPr>
          <w:rFonts w:ascii="Verdana" w:hAnsi="Verdana" w:cs="Verdana"/>
          <w:color w:val="000000"/>
          <w:lang w:val="en-GB"/>
        </w:rPr>
        <w:t xml:space="preserve">declared </w:t>
      </w:r>
      <w:r w:rsidRPr="00066CE3">
        <w:rPr>
          <w:rFonts w:ascii="Verdana" w:hAnsi="Verdana" w:cs="Verdana"/>
          <w:color w:val="000000"/>
          <w:lang w:val="en-GB"/>
        </w:rPr>
        <w:t>standard</w:t>
      </w:r>
      <w:r w:rsidR="00EB6B6F">
        <w:rPr>
          <w:rFonts w:ascii="Verdana" w:hAnsi="Verdana" w:cs="Verdana"/>
          <w:color w:val="000000"/>
          <w:lang w:val="en-GB"/>
        </w:rPr>
        <w:t>s of HTU</w:t>
      </w:r>
      <w:r w:rsidRPr="00066CE3">
        <w:rPr>
          <w:rFonts w:ascii="Verdana" w:hAnsi="Verdana" w:cs="Verdana"/>
          <w:color w:val="000000"/>
          <w:lang w:val="en-GB"/>
        </w:rPr>
        <w:t xml:space="preserve"> and then Pearson Enquiries and Appeals procedures.</w:t>
      </w:r>
    </w:p>
    <w:p w14:paraId="135892FB" w14:textId="77777777" w:rsidR="00EB6B6F" w:rsidRDefault="00EB6B6F" w:rsidP="00066CE3">
      <w:pPr>
        <w:autoSpaceDE w:val="0"/>
        <w:autoSpaceDN w:val="0"/>
        <w:adjustRightInd w:val="0"/>
        <w:spacing w:after="0" w:line="240" w:lineRule="auto"/>
        <w:rPr>
          <w:rFonts w:ascii="Verdana" w:hAnsi="Verdana" w:cs="Verdana"/>
          <w:b/>
          <w:bCs/>
          <w:color w:val="000000"/>
          <w:sz w:val="28"/>
          <w:szCs w:val="28"/>
          <w:lang w:val="en-GB"/>
        </w:rPr>
      </w:pPr>
    </w:p>
    <w:p w14:paraId="480B6727"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7. </w:t>
      </w:r>
      <w:r w:rsidR="00066CE3" w:rsidRPr="00EB6B6F">
        <w:rPr>
          <w:rFonts w:ascii="Arial" w:hAnsi="Arial" w:cs="Arial"/>
          <w:b/>
          <w:bCs/>
          <w:color w:val="000000"/>
          <w:sz w:val="23"/>
          <w:szCs w:val="23"/>
          <w:lang w:val="en-GB"/>
        </w:rPr>
        <w:t>Regulatory references</w:t>
      </w:r>
    </w:p>
    <w:p w14:paraId="78812980"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Ofqual and SQA require all awarding organisations </w:t>
      </w:r>
      <w:r w:rsidR="00EB6B6F">
        <w:rPr>
          <w:rFonts w:ascii="Verdana" w:hAnsi="Verdana" w:cs="Verdana"/>
          <w:color w:val="000000"/>
          <w:lang w:val="en-GB"/>
        </w:rPr>
        <w:t xml:space="preserve">to establish and maintain their </w:t>
      </w:r>
      <w:r w:rsidRPr="00066CE3">
        <w:rPr>
          <w:rFonts w:ascii="Verdana" w:hAnsi="Verdana" w:cs="Verdana"/>
          <w:color w:val="000000"/>
          <w:lang w:val="en-GB"/>
        </w:rPr>
        <w:t>compliance with regulatory conditions and criteria. As</w:t>
      </w:r>
      <w:r w:rsidR="00EB6B6F">
        <w:rPr>
          <w:rFonts w:ascii="Verdana" w:hAnsi="Verdana" w:cs="Verdana"/>
          <w:color w:val="000000"/>
          <w:lang w:val="en-GB"/>
        </w:rPr>
        <w:t xml:space="preserve"> part of this process, policies </w:t>
      </w:r>
      <w:r w:rsidRPr="00066CE3">
        <w:rPr>
          <w:rFonts w:ascii="Verdana" w:hAnsi="Verdana" w:cs="Verdana"/>
          <w:color w:val="000000"/>
          <w:lang w:val="en-GB"/>
        </w:rPr>
        <w:t xml:space="preserve">that relate to Pearson’s status as an awarding </w:t>
      </w:r>
      <w:r w:rsidR="00EB6B6F">
        <w:rPr>
          <w:rFonts w:ascii="Verdana" w:hAnsi="Verdana" w:cs="Verdana"/>
          <w:color w:val="000000"/>
          <w:lang w:val="en-GB"/>
        </w:rPr>
        <w:t xml:space="preserve">organisation will reference the </w:t>
      </w:r>
      <w:r w:rsidRPr="00066CE3">
        <w:rPr>
          <w:rFonts w:ascii="Verdana" w:hAnsi="Verdana" w:cs="Verdana"/>
          <w:color w:val="000000"/>
          <w:lang w:val="en-GB"/>
        </w:rPr>
        <w:t>particular conditions and criteria that they address.</w:t>
      </w:r>
    </w:p>
    <w:p w14:paraId="0E21F9DB" w14:textId="77777777" w:rsidR="00287672" w:rsidRPr="00066CE3"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487AFED4" w14:textId="77777777" w:rsidR="00702C3B" w:rsidRPr="00066CE3"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318EF4AA" w14:textId="0EA53D68" w:rsidR="00702C3B" w:rsidRPr="00066CE3" w:rsidRDefault="0097785F" w:rsidP="1A0CB9F5">
      <w:pPr>
        <w:autoSpaceDE w:val="0"/>
        <w:autoSpaceDN w:val="0"/>
        <w:adjustRightInd w:val="0"/>
        <w:spacing w:after="0" w:line="360" w:lineRule="auto"/>
        <w:jc w:val="center"/>
        <w:rPr>
          <w:rFonts w:asciiTheme="majorBidi" w:hAnsiTheme="majorBidi" w:cstheme="majorBidi"/>
          <w:b/>
          <w:bCs/>
          <w:sz w:val="24"/>
          <w:szCs w:val="24"/>
          <w:lang w:val="en-GB"/>
        </w:rPr>
      </w:pPr>
      <w:r w:rsidRPr="018415F0">
        <w:rPr>
          <w:rFonts w:asciiTheme="majorBidi" w:hAnsiTheme="majorBidi" w:cstheme="majorBidi"/>
          <w:b/>
          <w:bCs/>
          <w:sz w:val="24"/>
          <w:szCs w:val="24"/>
          <w:lang w:val="en-GB"/>
        </w:rPr>
        <w:t xml:space="preserve">End of </w:t>
      </w:r>
      <w:r w:rsidR="00702C3B" w:rsidRPr="018415F0">
        <w:rPr>
          <w:rFonts w:asciiTheme="majorBidi" w:hAnsiTheme="majorBidi" w:cstheme="majorBidi"/>
          <w:b/>
          <w:bCs/>
          <w:sz w:val="24"/>
          <w:szCs w:val="24"/>
          <w:lang w:val="en-GB"/>
        </w:rPr>
        <w:t>Policy</w:t>
      </w:r>
    </w:p>
    <w:p w14:paraId="544CFBF1" w14:textId="77777777" w:rsidR="00365E77" w:rsidRPr="00066CE3"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066CE3"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84CD1" w14:textId="77777777" w:rsidR="0049794C" w:rsidRDefault="0049794C" w:rsidP="00722D92">
      <w:pPr>
        <w:spacing w:after="0" w:line="240" w:lineRule="auto"/>
      </w:pPr>
      <w:r>
        <w:separator/>
      </w:r>
    </w:p>
  </w:endnote>
  <w:endnote w:type="continuationSeparator" w:id="0">
    <w:p w14:paraId="0CFDB3BF" w14:textId="77777777" w:rsidR="0049794C" w:rsidRDefault="0049794C" w:rsidP="00722D92">
      <w:pPr>
        <w:spacing w:after="0" w:line="240" w:lineRule="auto"/>
      </w:pPr>
      <w:r>
        <w:continuationSeparator/>
      </w:r>
    </w:p>
  </w:endnote>
  <w:endnote w:id="1">
    <w:p w14:paraId="0ACEC684" w14:textId="77777777" w:rsidR="002F32DA" w:rsidRPr="00EB6B6F" w:rsidRDefault="002F32DA" w:rsidP="00EB6B6F">
      <w:pPr>
        <w:autoSpaceDE w:val="0"/>
        <w:autoSpaceDN w:val="0"/>
        <w:adjustRightInd w:val="0"/>
        <w:spacing w:after="0" w:line="240" w:lineRule="auto"/>
        <w:rPr>
          <w:rFonts w:ascii="Trebuchet MS" w:hAnsi="Trebuchet MS" w:cs="Trebuchet MS"/>
          <w:color w:val="000000"/>
          <w:sz w:val="16"/>
          <w:szCs w:val="16"/>
          <w:lang w:val="en-GB"/>
        </w:rPr>
      </w:pPr>
      <w:r>
        <w:rPr>
          <w:rStyle w:val="EndnoteReference"/>
        </w:rPr>
        <w:endnoteRef/>
      </w:r>
      <w:r>
        <w:t xml:space="preserve"> </w:t>
      </w:r>
      <w:r w:rsidRPr="00EB6B6F">
        <w:rPr>
          <w:rFonts w:ascii="Trebuchet MS" w:hAnsi="Trebuchet MS" w:cs="Trebuchet MS"/>
          <w:color w:val="000000"/>
          <w:sz w:val="16"/>
          <w:szCs w:val="16"/>
          <w:lang w:val="en-GB"/>
        </w:rPr>
        <w:t>Exemption - the facility for a learner to claim exemption from some of the achievement r</w:t>
      </w:r>
      <w:r w:rsidR="00EB6B6F">
        <w:rPr>
          <w:rFonts w:ascii="Trebuchet MS" w:hAnsi="Trebuchet MS" w:cs="Trebuchet MS"/>
          <w:color w:val="000000"/>
          <w:sz w:val="16"/>
          <w:szCs w:val="16"/>
          <w:lang w:val="en-GB"/>
        </w:rPr>
        <w:t xml:space="preserve">equirements of a qualification, </w:t>
      </w:r>
      <w:r w:rsidRPr="00EB6B6F">
        <w:rPr>
          <w:rFonts w:ascii="Trebuchet MS" w:hAnsi="Trebuchet MS" w:cs="Trebuchet MS"/>
          <w:color w:val="000000"/>
          <w:sz w:val="16"/>
          <w:szCs w:val="16"/>
          <w:lang w:val="en-GB"/>
        </w:rPr>
        <w:t>using evidence of certificated achievement deemed to be of equivalent value.</w:t>
      </w:r>
    </w:p>
    <w:p w14:paraId="39A2647C" w14:textId="77777777" w:rsidR="00EB6B6F" w:rsidRDefault="00EB6B6F" w:rsidP="002F32DA">
      <w:pPr>
        <w:autoSpaceDE w:val="0"/>
        <w:autoSpaceDN w:val="0"/>
        <w:adjustRightInd w:val="0"/>
        <w:spacing w:after="0" w:line="240" w:lineRule="auto"/>
        <w:rPr>
          <w:rFonts w:ascii="Trebuchet MS" w:hAnsi="Trebuchet MS" w:cs="Trebuchet MS"/>
          <w:color w:val="000000"/>
          <w:sz w:val="16"/>
          <w:szCs w:val="16"/>
          <w:lang w:val="en-GB"/>
        </w:rPr>
      </w:pPr>
    </w:p>
    <w:p w14:paraId="25F5BB2C" w14:textId="77777777"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Equivalent unit(s) - a unit/units from a different qualification or submitted by another recognised organisation that is/are</w:t>
      </w:r>
    </w:p>
    <w:p w14:paraId="5F1A3D75" w14:textId="77777777"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deemed to be of equivalent value and so can count towards a qualification in place of designated mandatory or optional units</w:t>
      </w:r>
    </w:p>
    <w:p w14:paraId="0CB48D5F" w14:textId="77777777" w:rsidR="002F32DA" w:rsidRPr="00EB6B6F" w:rsidRDefault="002F32DA" w:rsidP="002F32DA">
      <w:pPr>
        <w:pStyle w:val="EndnoteText"/>
        <w:rPr>
          <w:lang w:val="en-GB"/>
        </w:rPr>
      </w:pPr>
      <w:r w:rsidRPr="00EB6B6F">
        <w:rPr>
          <w:rFonts w:ascii="Trebuchet MS" w:hAnsi="Trebuchet MS" w:cs="Trebuchet MS"/>
          <w:color w:val="000000"/>
          <w:sz w:val="16"/>
          <w:szCs w:val="16"/>
          <w:lang w:val="en-GB"/>
        </w:rPr>
        <w:t>from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873624"/>
      <w:docPartObj>
        <w:docPartGallery w:val="Page Numbers (Bottom of Page)"/>
        <w:docPartUnique/>
      </w:docPartObj>
    </w:sdtPr>
    <w:sdtEndPr>
      <w:rPr>
        <w:noProof/>
      </w:rPr>
    </w:sdtEndPr>
    <w:sdtContent>
      <w:p w14:paraId="4A9D2442" w14:textId="77777777" w:rsidR="00B40AE1" w:rsidRDefault="00B40AE1">
        <w:pPr>
          <w:pStyle w:val="Footer"/>
          <w:jc w:val="right"/>
        </w:pPr>
        <w:r>
          <w:fldChar w:fldCharType="begin"/>
        </w:r>
        <w:r>
          <w:instrText xml:space="preserve"> PAGE   \* MERGEFORMAT </w:instrText>
        </w:r>
        <w:r>
          <w:fldChar w:fldCharType="separate"/>
        </w:r>
        <w:r w:rsidR="003E3073">
          <w:rPr>
            <w:noProof/>
          </w:rPr>
          <w:t>4</w:t>
        </w:r>
        <w:r>
          <w:rPr>
            <w:noProof/>
          </w:rPr>
          <w:fldChar w:fldCharType="end"/>
        </w:r>
      </w:p>
    </w:sdtContent>
  </w:sdt>
  <w:p w14:paraId="0984D903"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80813" w14:textId="77777777" w:rsidR="0049794C" w:rsidRDefault="0049794C" w:rsidP="00722D92">
      <w:pPr>
        <w:spacing w:after="0" w:line="240" w:lineRule="auto"/>
      </w:pPr>
      <w:r>
        <w:separator/>
      </w:r>
    </w:p>
  </w:footnote>
  <w:footnote w:type="continuationSeparator" w:id="0">
    <w:p w14:paraId="25C9D3FA" w14:textId="77777777" w:rsidR="0049794C" w:rsidRDefault="0049794C"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269B2" w14:textId="77777777" w:rsidR="00524EE9" w:rsidRPr="00524EE9"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4191B026" wp14:editId="0D1F74C1">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D750A9" w:rsidRPr="00A66402">
      <w:rPr>
        <w:sz w:val="32"/>
      </w:rPr>
      <w:t>Recognition of Prior Learning</w:t>
    </w:r>
    <w:r w:rsidR="00D750A9" w:rsidRPr="00503613">
      <w:rPr>
        <w:sz w:val="32"/>
      </w:rPr>
      <w:t xml:space="preserve"> </w:t>
    </w:r>
    <w:r w:rsidRPr="00503613">
      <w:rPr>
        <w:sz w:val="32"/>
      </w:rPr>
      <w:t>Policy</w:t>
    </w:r>
  </w:p>
  <w:p w14:paraId="15ED9840"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552">
    <w:abstractNumId w:val="21"/>
  </w:num>
  <w:num w:numId="2" w16cid:durableId="447701812">
    <w:abstractNumId w:val="4"/>
  </w:num>
  <w:num w:numId="3" w16cid:durableId="1116750287">
    <w:abstractNumId w:val="19"/>
  </w:num>
  <w:num w:numId="4" w16cid:durableId="2016805688">
    <w:abstractNumId w:val="10"/>
  </w:num>
  <w:num w:numId="5" w16cid:durableId="576666626">
    <w:abstractNumId w:val="20"/>
  </w:num>
  <w:num w:numId="6" w16cid:durableId="1004431260">
    <w:abstractNumId w:val="12"/>
  </w:num>
  <w:num w:numId="7" w16cid:durableId="1188375596">
    <w:abstractNumId w:val="13"/>
  </w:num>
  <w:num w:numId="8" w16cid:durableId="605383737">
    <w:abstractNumId w:val="9"/>
  </w:num>
  <w:num w:numId="9" w16cid:durableId="765997774">
    <w:abstractNumId w:val="6"/>
  </w:num>
  <w:num w:numId="10" w16cid:durableId="1288242826">
    <w:abstractNumId w:val="17"/>
  </w:num>
  <w:num w:numId="11" w16cid:durableId="1838418713">
    <w:abstractNumId w:val="30"/>
  </w:num>
  <w:num w:numId="12" w16cid:durableId="1951665999">
    <w:abstractNumId w:val="5"/>
  </w:num>
  <w:num w:numId="13" w16cid:durableId="893659484">
    <w:abstractNumId w:val="3"/>
  </w:num>
  <w:num w:numId="14" w16cid:durableId="856191211">
    <w:abstractNumId w:val="25"/>
  </w:num>
  <w:num w:numId="15" w16cid:durableId="951744227">
    <w:abstractNumId w:val="18"/>
  </w:num>
  <w:num w:numId="16" w16cid:durableId="623540067">
    <w:abstractNumId w:val="1"/>
  </w:num>
  <w:num w:numId="17" w16cid:durableId="1179393554">
    <w:abstractNumId w:val="0"/>
  </w:num>
  <w:num w:numId="18" w16cid:durableId="1278758205">
    <w:abstractNumId w:val="2"/>
  </w:num>
  <w:num w:numId="19" w16cid:durableId="543949332">
    <w:abstractNumId w:val="26"/>
  </w:num>
  <w:num w:numId="20" w16cid:durableId="1181820274">
    <w:abstractNumId w:val="16"/>
  </w:num>
  <w:num w:numId="21" w16cid:durableId="1996760048">
    <w:abstractNumId w:val="27"/>
  </w:num>
  <w:num w:numId="22" w16cid:durableId="900022661">
    <w:abstractNumId w:val="29"/>
  </w:num>
  <w:num w:numId="23" w16cid:durableId="598222682">
    <w:abstractNumId w:val="11"/>
  </w:num>
  <w:num w:numId="24" w16cid:durableId="610014650">
    <w:abstractNumId w:val="23"/>
  </w:num>
  <w:num w:numId="25" w16cid:durableId="2143955942">
    <w:abstractNumId w:val="15"/>
  </w:num>
  <w:num w:numId="26" w16cid:durableId="1211650360">
    <w:abstractNumId w:val="28"/>
  </w:num>
  <w:num w:numId="27" w16cid:durableId="781344128">
    <w:abstractNumId w:val="7"/>
  </w:num>
  <w:num w:numId="28" w16cid:durableId="279263070">
    <w:abstractNumId w:val="8"/>
  </w:num>
  <w:num w:numId="29" w16cid:durableId="1460221896">
    <w:abstractNumId w:val="24"/>
  </w:num>
  <w:num w:numId="30" w16cid:durableId="1437094477">
    <w:abstractNumId w:val="22"/>
  </w:num>
  <w:num w:numId="31" w16cid:durableId="1871642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C757C"/>
    <w:rsid w:val="000D7C13"/>
    <w:rsid w:val="000E00AB"/>
    <w:rsid w:val="000F2CFC"/>
    <w:rsid w:val="001422E3"/>
    <w:rsid w:val="001814D4"/>
    <w:rsid w:val="001B580A"/>
    <w:rsid w:val="001E1ED3"/>
    <w:rsid w:val="001F34C2"/>
    <w:rsid w:val="00200DC3"/>
    <w:rsid w:val="002209DE"/>
    <w:rsid w:val="00244A9E"/>
    <w:rsid w:val="00254F25"/>
    <w:rsid w:val="00261468"/>
    <w:rsid w:val="00270467"/>
    <w:rsid w:val="00287672"/>
    <w:rsid w:val="002963FD"/>
    <w:rsid w:val="002C705E"/>
    <w:rsid w:val="002F32DA"/>
    <w:rsid w:val="00301AB1"/>
    <w:rsid w:val="00305871"/>
    <w:rsid w:val="0036275E"/>
    <w:rsid w:val="00365E77"/>
    <w:rsid w:val="003833B9"/>
    <w:rsid w:val="00385C08"/>
    <w:rsid w:val="003B7D95"/>
    <w:rsid w:val="003D4A9F"/>
    <w:rsid w:val="003E3073"/>
    <w:rsid w:val="003E6B35"/>
    <w:rsid w:val="003F3A80"/>
    <w:rsid w:val="00405B27"/>
    <w:rsid w:val="004161D6"/>
    <w:rsid w:val="00441666"/>
    <w:rsid w:val="0047067F"/>
    <w:rsid w:val="0049794C"/>
    <w:rsid w:val="004D1388"/>
    <w:rsid w:val="004D6199"/>
    <w:rsid w:val="004F2F6C"/>
    <w:rsid w:val="00517AF8"/>
    <w:rsid w:val="00523C4F"/>
    <w:rsid w:val="00524EE9"/>
    <w:rsid w:val="005273A7"/>
    <w:rsid w:val="005B43C2"/>
    <w:rsid w:val="005F182F"/>
    <w:rsid w:val="005F34D0"/>
    <w:rsid w:val="006466DD"/>
    <w:rsid w:val="006902AA"/>
    <w:rsid w:val="006B69AF"/>
    <w:rsid w:val="00702C3B"/>
    <w:rsid w:val="00722D92"/>
    <w:rsid w:val="0074711E"/>
    <w:rsid w:val="00747C20"/>
    <w:rsid w:val="007518EE"/>
    <w:rsid w:val="00786619"/>
    <w:rsid w:val="007B39D3"/>
    <w:rsid w:val="007D3BC6"/>
    <w:rsid w:val="00804A70"/>
    <w:rsid w:val="0081665F"/>
    <w:rsid w:val="00830FFD"/>
    <w:rsid w:val="00831951"/>
    <w:rsid w:val="00832207"/>
    <w:rsid w:val="008469C8"/>
    <w:rsid w:val="0089675F"/>
    <w:rsid w:val="008B149D"/>
    <w:rsid w:val="008C0491"/>
    <w:rsid w:val="008D1437"/>
    <w:rsid w:val="008D1B4B"/>
    <w:rsid w:val="0097785F"/>
    <w:rsid w:val="00977DA3"/>
    <w:rsid w:val="009B1438"/>
    <w:rsid w:val="009D2164"/>
    <w:rsid w:val="009D5A71"/>
    <w:rsid w:val="00A11B8F"/>
    <w:rsid w:val="00A367B8"/>
    <w:rsid w:val="00A55696"/>
    <w:rsid w:val="00A66402"/>
    <w:rsid w:val="00A72A95"/>
    <w:rsid w:val="00AB2D20"/>
    <w:rsid w:val="00AB34BC"/>
    <w:rsid w:val="00AC134E"/>
    <w:rsid w:val="00AD7522"/>
    <w:rsid w:val="00AE494B"/>
    <w:rsid w:val="00AE571E"/>
    <w:rsid w:val="00B23F0E"/>
    <w:rsid w:val="00B32413"/>
    <w:rsid w:val="00B34088"/>
    <w:rsid w:val="00B40AE1"/>
    <w:rsid w:val="00B50617"/>
    <w:rsid w:val="00B876F5"/>
    <w:rsid w:val="00BA7AD4"/>
    <w:rsid w:val="00BB5D70"/>
    <w:rsid w:val="00BD6D2B"/>
    <w:rsid w:val="00BF5606"/>
    <w:rsid w:val="00C07C1A"/>
    <w:rsid w:val="00D01117"/>
    <w:rsid w:val="00D66CA4"/>
    <w:rsid w:val="00D750A9"/>
    <w:rsid w:val="00DC6255"/>
    <w:rsid w:val="00DD55D1"/>
    <w:rsid w:val="00DE26FC"/>
    <w:rsid w:val="00DE6ECF"/>
    <w:rsid w:val="00E32FB0"/>
    <w:rsid w:val="00E5647F"/>
    <w:rsid w:val="00E80F99"/>
    <w:rsid w:val="00E84B38"/>
    <w:rsid w:val="00E90ADF"/>
    <w:rsid w:val="00EA3B9D"/>
    <w:rsid w:val="00EB6B6F"/>
    <w:rsid w:val="00EC75D5"/>
    <w:rsid w:val="00ED38EE"/>
    <w:rsid w:val="00F34DFF"/>
    <w:rsid w:val="00F45D4E"/>
    <w:rsid w:val="00F56D3B"/>
    <w:rsid w:val="00FB09F1"/>
    <w:rsid w:val="00FC7632"/>
    <w:rsid w:val="00FE5260"/>
    <w:rsid w:val="018415F0"/>
    <w:rsid w:val="02DAC64C"/>
    <w:rsid w:val="046FC662"/>
    <w:rsid w:val="08BB62BE"/>
    <w:rsid w:val="0A57331F"/>
    <w:rsid w:val="1870E994"/>
    <w:rsid w:val="1A0CB9F5"/>
    <w:rsid w:val="1F58579A"/>
    <w:rsid w:val="2DB6F782"/>
    <w:rsid w:val="3B0C82BC"/>
    <w:rsid w:val="3D0BA9B9"/>
    <w:rsid w:val="3F7A272A"/>
    <w:rsid w:val="44AB983F"/>
    <w:rsid w:val="45066F9A"/>
    <w:rsid w:val="535DF4FF"/>
    <w:rsid w:val="7FABF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DE39"/>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0E52A-6EC4-4F98-83DD-7CCC52FC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17</cp:revision>
  <dcterms:created xsi:type="dcterms:W3CDTF">2018-09-03T12:43:00Z</dcterms:created>
  <dcterms:modified xsi:type="dcterms:W3CDTF">2024-11-11T07:51:00Z</dcterms:modified>
</cp:coreProperties>
</file>